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  <w:bookmarkStart w:id="0" w:name="_GoBack"/>
      <w:bookmarkEnd w:id="0"/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1" w:name="CurrentDate1"/>
            <w:bookmarkEnd w:id="1"/>
            <w:r w:rsidR="00F31000">
              <w:rPr>
                <w:b/>
                <w:sz w:val="22"/>
                <w:lang w:val="ru-RU"/>
              </w:rPr>
              <w:t>05/02/2019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F310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"/>
            <w:bookmarkEnd w:id="2"/>
            <w:r>
              <w:rPr>
                <w:b/>
                <w:sz w:val="22"/>
                <w:lang w:val="en-US"/>
              </w:rPr>
              <w:t>77.3612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F310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2_1"/>
            <w:bookmarkEnd w:id="3"/>
            <w:r>
              <w:rPr>
                <w:b/>
                <w:sz w:val="22"/>
                <w:lang w:val="en-US"/>
              </w:rPr>
              <w:t>77.3612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F310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ObratnoIzkupuvane_FundID_2"/>
            <w:bookmarkEnd w:id="4"/>
            <w:r>
              <w:rPr>
                <w:b/>
                <w:sz w:val="22"/>
                <w:lang w:val="en-US"/>
              </w:rPr>
              <w:t>77.3612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F310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5" w:name="NetnaStoinost_FundID_2"/>
            <w:bookmarkEnd w:id="5"/>
            <w:r>
              <w:rPr>
                <w:b/>
                <w:sz w:val="22"/>
                <w:lang w:val="ru-RU"/>
              </w:rPr>
              <w:t>561 875.45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F31000" w:rsidP="006056EA">
            <w:pPr>
              <w:jc w:val="center"/>
              <w:rPr>
                <w:b/>
                <w:sz w:val="22"/>
                <w:lang w:val="ru-RU"/>
              </w:rPr>
            </w:pPr>
            <w:bookmarkStart w:id="6" w:name="BrojDialove_FundID_2"/>
            <w:bookmarkEnd w:id="6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7" w:name="CurrentDate2"/>
            <w:bookmarkEnd w:id="7"/>
            <w:r w:rsidR="00F31000">
              <w:rPr>
                <w:b/>
                <w:sz w:val="22"/>
                <w:lang w:val="en-US"/>
              </w:rPr>
              <w:t>05/02/2019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F31000" w:rsidP="00403058">
            <w:pPr>
              <w:jc w:val="center"/>
              <w:rPr>
                <w:b/>
                <w:sz w:val="22"/>
              </w:rPr>
            </w:pPr>
            <w:bookmarkStart w:id="8" w:name="EmissionnaStoinost_FundID_2_2"/>
            <w:bookmarkEnd w:id="8"/>
            <w:r>
              <w:rPr>
                <w:b/>
                <w:sz w:val="22"/>
              </w:rPr>
              <w:t>77.3612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F310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2_3"/>
            <w:bookmarkEnd w:id="9"/>
            <w:r>
              <w:rPr>
                <w:b/>
                <w:sz w:val="22"/>
              </w:rPr>
              <w:t>77.3612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F310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ObratnoIzkupuvane_FundID_2_1"/>
            <w:bookmarkEnd w:id="10"/>
            <w:r>
              <w:rPr>
                <w:b/>
                <w:sz w:val="22"/>
              </w:rPr>
              <w:t>77.3612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F310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2_1"/>
            <w:bookmarkEnd w:id="11"/>
            <w:r>
              <w:rPr>
                <w:b/>
                <w:sz w:val="22"/>
              </w:rPr>
              <w:t>561 875.45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F31000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00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1000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23BE-1C53-4B27-AA63-675FE535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2019-02-06T11:53:00Z</dcterms:created>
  <dcterms:modified xsi:type="dcterms:W3CDTF">2019-02-06T11:53:00Z</dcterms:modified>
</cp:coreProperties>
</file>