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E60B3" w14:textId="77777777" w:rsidR="00EB7FCE" w:rsidRDefault="00EB7FCE">
      <w:pPr>
        <w:pStyle w:val="BodyText"/>
        <w:rPr>
          <w:b w:val="0"/>
          <w:sz w:val="20"/>
        </w:rPr>
      </w:pPr>
    </w:p>
    <w:p w14:paraId="62108C1E" w14:textId="77777777" w:rsidR="00EB7FCE" w:rsidRDefault="00EB7FCE">
      <w:pPr>
        <w:pStyle w:val="BodyText"/>
        <w:rPr>
          <w:b w:val="0"/>
          <w:sz w:val="20"/>
        </w:rPr>
      </w:pPr>
    </w:p>
    <w:p w14:paraId="2FDC339D" w14:textId="77777777" w:rsidR="00EB7FCE" w:rsidRPr="00E267F6" w:rsidRDefault="00EB7FCE">
      <w:pPr>
        <w:pStyle w:val="BodyText"/>
        <w:rPr>
          <w:rFonts w:asciiTheme="minorHAnsi" w:hAnsiTheme="minorHAnsi" w:cstheme="minorHAnsi"/>
          <w:b w:val="0"/>
        </w:rPr>
      </w:pPr>
    </w:p>
    <w:p w14:paraId="470DCA37" w14:textId="77777777" w:rsidR="00C67993" w:rsidRPr="00CB19A3" w:rsidRDefault="00C67993" w:rsidP="00C67993">
      <w:pPr>
        <w:ind w:right="567"/>
        <w:jc w:val="center"/>
        <w:rPr>
          <w:rFonts w:ascii="Calibri" w:hAnsi="Calibri" w:cs="Arial"/>
          <w:b/>
          <w:sz w:val="28"/>
          <w:szCs w:val="28"/>
        </w:rPr>
      </w:pPr>
      <w:r w:rsidRPr="00CB19A3">
        <w:rPr>
          <w:rFonts w:ascii="Calibri" w:hAnsi="Calibri" w:cs="Arial"/>
          <w:b/>
          <w:sz w:val="28"/>
          <w:szCs w:val="28"/>
        </w:rPr>
        <w:t>ВЪТРЕШНА ИНФОРМАЦИЯ</w:t>
      </w:r>
    </w:p>
    <w:p w14:paraId="77137CF7" w14:textId="1B63AACB" w:rsidR="00C67993" w:rsidRPr="00320260" w:rsidRDefault="00C67993" w:rsidP="00C67993">
      <w:pPr>
        <w:ind w:right="567"/>
        <w:jc w:val="center"/>
        <w:rPr>
          <w:rFonts w:ascii="Calibri" w:hAnsi="Calibri" w:cs="Arial"/>
          <w:b/>
          <w:sz w:val="20"/>
          <w:szCs w:val="18"/>
        </w:rPr>
      </w:pPr>
      <w:r w:rsidRPr="00320260">
        <w:rPr>
          <w:rFonts w:ascii="Calibri" w:hAnsi="Calibri" w:cs="Arial"/>
          <w:b/>
          <w:sz w:val="20"/>
          <w:szCs w:val="18"/>
        </w:rPr>
        <w:t xml:space="preserve">относно фактите и обстоятелствата по чл. 7 от Регламент (ЕС) 596/2014 на Европейския парламент и на Съвета от 16 април 2014 г. за </w:t>
      </w:r>
      <w:r>
        <w:rPr>
          <w:rFonts w:ascii="Calibri" w:hAnsi="Calibri" w:cs="Arial"/>
          <w:b/>
          <w:sz w:val="20"/>
          <w:szCs w:val="18"/>
        </w:rPr>
        <w:t>четвърто</w:t>
      </w:r>
      <w:r w:rsidRPr="00320260">
        <w:rPr>
          <w:rFonts w:ascii="Calibri" w:hAnsi="Calibri" w:cs="Arial"/>
          <w:b/>
          <w:sz w:val="20"/>
          <w:szCs w:val="18"/>
        </w:rPr>
        <w:t xml:space="preserve"> </w:t>
      </w:r>
      <w:r>
        <w:rPr>
          <w:rFonts w:ascii="Calibri" w:hAnsi="Calibri" w:cs="Arial"/>
          <w:b/>
          <w:sz w:val="20"/>
          <w:szCs w:val="18"/>
        </w:rPr>
        <w:t>три</w:t>
      </w:r>
      <w:r w:rsidRPr="00320260">
        <w:rPr>
          <w:rFonts w:ascii="Calibri" w:hAnsi="Calibri" w:cs="Arial"/>
          <w:b/>
          <w:sz w:val="20"/>
          <w:szCs w:val="18"/>
        </w:rPr>
        <w:t>месечие на 2021 г. на „</w:t>
      </w:r>
      <w:r w:rsidRPr="00C67993">
        <w:rPr>
          <w:rFonts w:ascii="Calibri" w:hAnsi="Calibri" w:cs="Arial"/>
          <w:b/>
          <w:sz w:val="20"/>
          <w:szCs w:val="18"/>
        </w:rPr>
        <w:t>Компас Фонд за Вземания АДСИЦ</w:t>
      </w:r>
      <w:r w:rsidRPr="00320260">
        <w:rPr>
          <w:rFonts w:ascii="Calibri" w:hAnsi="Calibri" w:cs="Arial"/>
          <w:b/>
          <w:sz w:val="20"/>
          <w:szCs w:val="18"/>
        </w:rPr>
        <w:t>“ АДСИЦ</w:t>
      </w:r>
    </w:p>
    <w:p w14:paraId="41ADF988" w14:textId="77777777" w:rsidR="00C67993" w:rsidRPr="00CB19A3" w:rsidRDefault="00C67993" w:rsidP="00C67993">
      <w:pPr>
        <w:ind w:right="567"/>
        <w:rPr>
          <w:rFonts w:ascii="Calibri" w:hAnsi="Calibri" w:cs="Arial"/>
          <w:sz w:val="24"/>
          <w:szCs w:val="28"/>
        </w:rPr>
      </w:pPr>
    </w:p>
    <w:p w14:paraId="4A4A9C2A" w14:textId="1CF3143A" w:rsidR="00C67993" w:rsidRPr="00CB19A3" w:rsidRDefault="00C67993" w:rsidP="00C67993">
      <w:pPr>
        <w:ind w:right="567"/>
        <w:jc w:val="both"/>
        <w:rPr>
          <w:rFonts w:ascii="Calibri" w:hAnsi="Calibri" w:cs="Arial"/>
          <w:sz w:val="24"/>
          <w:szCs w:val="28"/>
        </w:rPr>
      </w:pPr>
      <w:r>
        <w:rPr>
          <w:rFonts w:ascii="Calibri" w:hAnsi="Calibri" w:cs="Arial"/>
          <w:sz w:val="24"/>
          <w:szCs w:val="28"/>
        </w:rPr>
        <w:tab/>
      </w:r>
      <w:r w:rsidRPr="00CB19A3">
        <w:rPr>
          <w:rFonts w:ascii="Calibri" w:hAnsi="Calibri" w:cs="Arial"/>
          <w:sz w:val="24"/>
          <w:szCs w:val="28"/>
        </w:rPr>
        <w:t>„</w:t>
      </w:r>
      <w:r w:rsidRPr="00C67993">
        <w:rPr>
          <w:rFonts w:ascii="Calibri" w:hAnsi="Calibri" w:cs="Arial"/>
          <w:sz w:val="24"/>
          <w:szCs w:val="28"/>
        </w:rPr>
        <w:t>Компас Фонд за Вземания</w:t>
      </w:r>
      <w:r w:rsidRPr="00CB19A3">
        <w:rPr>
          <w:rFonts w:ascii="Calibri" w:hAnsi="Calibri" w:cs="Arial"/>
          <w:sz w:val="24"/>
          <w:szCs w:val="28"/>
        </w:rPr>
        <w:t>“ АДСИЦ  разкрива вътрешна информация по чл.</w:t>
      </w:r>
      <w:r>
        <w:rPr>
          <w:rFonts w:ascii="Calibri" w:hAnsi="Calibri" w:cs="Arial"/>
          <w:sz w:val="24"/>
          <w:szCs w:val="28"/>
        </w:rPr>
        <w:t xml:space="preserve"> </w:t>
      </w:r>
      <w:r w:rsidRPr="00CB19A3">
        <w:rPr>
          <w:rFonts w:ascii="Calibri" w:hAnsi="Calibri" w:cs="Arial"/>
          <w:sz w:val="24"/>
          <w:szCs w:val="28"/>
        </w:rPr>
        <w:t>7 от РЕГЛАМЕНТ (ЕС) № 596/2014 НА ЕВРОПЕЙСКИЯ ПАРЛАМЕНТ И НА СЪВЕТА от 16 април 2014 г</w:t>
      </w:r>
      <w:r>
        <w:rPr>
          <w:rFonts w:ascii="Calibri" w:hAnsi="Calibri" w:cs="Arial"/>
          <w:sz w:val="24"/>
          <w:szCs w:val="28"/>
        </w:rPr>
        <w:t>.</w:t>
      </w:r>
      <w:r w:rsidRPr="00CB19A3">
        <w:rPr>
          <w:rFonts w:ascii="Calibri" w:hAnsi="Calibri" w:cs="Arial"/>
          <w:sz w:val="24"/>
          <w:szCs w:val="28"/>
        </w:rPr>
        <w:t xml:space="preserve"> относно пазарната злоупотреба към Комисия за финансов надзор, </w:t>
      </w:r>
      <w:r>
        <w:rPr>
          <w:rFonts w:ascii="Calibri" w:hAnsi="Calibri" w:cs="Arial"/>
          <w:sz w:val="24"/>
          <w:szCs w:val="28"/>
        </w:rPr>
        <w:t>„</w:t>
      </w:r>
      <w:r w:rsidRPr="00CB19A3">
        <w:rPr>
          <w:rFonts w:ascii="Calibri" w:hAnsi="Calibri" w:cs="Arial"/>
          <w:sz w:val="24"/>
          <w:szCs w:val="28"/>
        </w:rPr>
        <w:t>Българска фондова борса</w:t>
      </w:r>
      <w:r>
        <w:rPr>
          <w:rFonts w:ascii="Calibri" w:hAnsi="Calibri" w:cs="Arial"/>
          <w:sz w:val="24"/>
          <w:szCs w:val="28"/>
        </w:rPr>
        <w:t>“ АД</w:t>
      </w:r>
      <w:r w:rsidRPr="00CB19A3">
        <w:rPr>
          <w:rFonts w:ascii="Calibri" w:hAnsi="Calibri" w:cs="Arial"/>
          <w:sz w:val="24"/>
          <w:szCs w:val="28"/>
        </w:rPr>
        <w:t xml:space="preserve"> и обществено</w:t>
      </w:r>
      <w:r>
        <w:rPr>
          <w:rFonts w:ascii="Calibri" w:hAnsi="Calibri" w:cs="Arial"/>
          <w:sz w:val="24"/>
          <w:szCs w:val="28"/>
        </w:rPr>
        <w:t>стта чрез системите E-Register,</w:t>
      </w:r>
      <w:r w:rsidRPr="00CB19A3">
        <w:rPr>
          <w:rFonts w:ascii="Calibri" w:hAnsi="Calibri" w:cs="Arial"/>
          <w:sz w:val="24"/>
          <w:szCs w:val="28"/>
        </w:rPr>
        <w:t xml:space="preserve"> Extri.bg и медията </w:t>
      </w:r>
      <w:r w:rsidRPr="00C67993">
        <w:rPr>
          <w:rFonts w:ascii="Calibri" w:hAnsi="Calibri" w:cs="Arial"/>
          <w:sz w:val="24"/>
          <w:szCs w:val="28"/>
        </w:rPr>
        <w:t>Инвестор.бг АД</w:t>
      </w:r>
      <w:r w:rsidRPr="00CB19A3">
        <w:rPr>
          <w:rFonts w:ascii="Calibri" w:hAnsi="Calibri" w:cs="Arial"/>
          <w:sz w:val="24"/>
          <w:szCs w:val="28"/>
        </w:rPr>
        <w:t xml:space="preserve">. Публикуваната информация може да бъде открита на сайта на </w:t>
      </w:r>
      <w:r w:rsidRPr="007C7999">
        <w:rPr>
          <w:rFonts w:ascii="Calibri" w:hAnsi="Calibri" w:cs="Arial"/>
          <w:sz w:val="24"/>
          <w:szCs w:val="28"/>
        </w:rPr>
        <w:t>Комисия за финансов надзор</w:t>
      </w:r>
      <w:r w:rsidRPr="00CB19A3">
        <w:rPr>
          <w:rFonts w:ascii="Calibri" w:hAnsi="Calibri" w:cs="Arial"/>
          <w:sz w:val="24"/>
          <w:szCs w:val="28"/>
        </w:rPr>
        <w:t xml:space="preserve"> –</w:t>
      </w:r>
      <w:r>
        <w:rPr>
          <w:rFonts w:ascii="Calibri" w:hAnsi="Calibri" w:cs="Arial"/>
          <w:sz w:val="24"/>
          <w:szCs w:val="28"/>
        </w:rPr>
        <w:t xml:space="preserve"> </w:t>
      </w:r>
      <w:r w:rsidRPr="00251B96">
        <w:rPr>
          <w:rStyle w:val="Hyperlink"/>
          <w:sz w:val="24"/>
          <w:szCs w:val="24"/>
        </w:rPr>
        <w:t>www.fsc.bg,</w:t>
      </w:r>
      <w:r w:rsidRPr="00251B96">
        <w:rPr>
          <w:rFonts w:ascii="Calibri" w:hAnsi="Calibri" w:cs="Arial"/>
          <w:sz w:val="24"/>
          <w:szCs w:val="24"/>
        </w:rPr>
        <w:t xml:space="preserve"> на електронната медия на </w:t>
      </w:r>
      <w:r w:rsidRPr="007C7999">
        <w:rPr>
          <w:rFonts w:ascii="Calibri" w:hAnsi="Calibri" w:cs="Arial"/>
          <w:sz w:val="24"/>
          <w:szCs w:val="24"/>
        </w:rPr>
        <w:t xml:space="preserve">„Българска фондова борса“ АД </w:t>
      </w:r>
      <w:r w:rsidRPr="00251B96">
        <w:rPr>
          <w:rFonts w:ascii="Calibri" w:hAnsi="Calibri" w:cs="Arial"/>
          <w:sz w:val="24"/>
          <w:szCs w:val="24"/>
        </w:rPr>
        <w:t xml:space="preserve">– </w:t>
      </w:r>
      <w:hyperlink r:id="rId6" w:history="1">
        <w:r w:rsidRPr="00BA7B9A">
          <w:rPr>
            <w:rStyle w:val="Hyperlink"/>
            <w:rFonts w:ascii="Calibri" w:hAnsi="Calibri" w:cs="Arial"/>
            <w:sz w:val="24"/>
            <w:szCs w:val="24"/>
          </w:rPr>
          <w:t>www.x3new</w:t>
        </w:r>
        <w:r w:rsidRPr="00BA7B9A">
          <w:rPr>
            <w:rStyle w:val="Hyperlink"/>
            <w:rFonts w:ascii="Calibri" w:hAnsi="Calibri" w:cs="Arial"/>
            <w:sz w:val="24"/>
            <w:szCs w:val="24"/>
            <w:lang w:val="en-US"/>
          </w:rPr>
          <w:t>s</w:t>
        </w:r>
        <w:r w:rsidRPr="00BA7B9A">
          <w:rPr>
            <w:rStyle w:val="Hyperlink"/>
            <w:rFonts w:ascii="Calibri" w:hAnsi="Calibri" w:cs="Arial"/>
            <w:sz w:val="24"/>
            <w:szCs w:val="24"/>
          </w:rPr>
          <w:t>.com</w:t>
        </w:r>
      </w:hyperlink>
      <w:r w:rsidRPr="00251B96">
        <w:rPr>
          <w:rFonts w:ascii="Calibri" w:hAnsi="Calibri" w:cs="Arial"/>
          <w:sz w:val="24"/>
          <w:szCs w:val="24"/>
        </w:rPr>
        <w:t xml:space="preserve">, на </w:t>
      </w:r>
      <w:r>
        <w:rPr>
          <w:rFonts w:ascii="Calibri" w:hAnsi="Calibri" w:cs="Arial"/>
          <w:sz w:val="24"/>
          <w:szCs w:val="24"/>
        </w:rPr>
        <w:t xml:space="preserve">медията – </w:t>
      </w:r>
      <w:hyperlink r:id="rId7" w:history="1">
        <w:r w:rsidRPr="004876AF">
          <w:rPr>
            <w:rStyle w:val="Hyperlink"/>
            <w:rFonts w:cstheme="minorHAnsi"/>
            <w:sz w:val="24"/>
            <w:szCs w:val="24"/>
          </w:rPr>
          <w:t>www.investor.bg</w:t>
        </w:r>
      </w:hyperlink>
      <w:r>
        <w:rPr>
          <w:rStyle w:val="Hyperlink"/>
          <w:rFonts w:cstheme="minorHAnsi"/>
          <w:sz w:val="24"/>
          <w:szCs w:val="24"/>
        </w:rPr>
        <w:t xml:space="preserve"> </w:t>
      </w:r>
      <w:r>
        <w:rPr>
          <w:rFonts w:ascii="Calibri" w:hAnsi="Calibri" w:cs="Arial"/>
          <w:sz w:val="24"/>
          <w:szCs w:val="24"/>
        </w:rPr>
        <w:t>и на сайта на Д</w:t>
      </w:r>
      <w:r w:rsidRPr="00251B96">
        <w:rPr>
          <w:rFonts w:ascii="Calibri" w:hAnsi="Calibri" w:cs="Arial"/>
          <w:sz w:val="24"/>
          <w:szCs w:val="24"/>
        </w:rPr>
        <w:t xml:space="preserve">ружеството </w:t>
      </w:r>
      <w:r w:rsidRPr="00C67993">
        <w:rPr>
          <w:b/>
          <w:color w:val="0000FF" w:themeColor="hyperlink"/>
          <w:sz w:val="24"/>
          <w:szCs w:val="24"/>
          <w:u w:val="single"/>
        </w:rPr>
        <w:t xml:space="preserve"> </w:t>
      </w:r>
      <w:r w:rsidRPr="00914352">
        <w:rPr>
          <w:bCs/>
          <w:color w:val="0000FF" w:themeColor="hyperlink"/>
          <w:sz w:val="24"/>
          <w:szCs w:val="24"/>
          <w:u w:val="single"/>
          <w:lang w:val="en-US"/>
        </w:rPr>
        <w:t>www</w:t>
      </w:r>
      <w:hyperlink r:id="rId8" w:history="1">
        <w:r w:rsidR="00914352" w:rsidRPr="00914352">
          <w:rPr>
            <w:rStyle w:val="Hyperlink"/>
            <w:bCs/>
            <w:sz w:val="24"/>
            <w:szCs w:val="24"/>
            <w:lang w:val="ru-RU"/>
          </w:rPr>
          <w:t>.</w:t>
        </w:r>
        <w:r w:rsidRPr="00914352">
          <w:rPr>
            <w:rStyle w:val="Hyperlink"/>
            <w:bCs/>
            <w:sz w:val="24"/>
            <w:szCs w:val="24"/>
          </w:rPr>
          <w:t>compass-receivables.eu</w:t>
        </w:r>
      </w:hyperlink>
      <w:r w:rsidRPr="00251B96">
        <w:rPr>
          <w:rFonts w:ascii="Calibri" w:hAnsi="Calibri" w:cs="Arial"/>
          <w:sz w:val="24"/>
          <w:szCs w:val="24"/>
        </w:rPr>
        <w:t>.</w:t>
      </w:r>
    </w:p>
    <w:p w14:paraId="2B55D538" w14:textId="77777777" w:rsidR="00C67993" w:rsidRDefault="00C67993" w:rsidP="00C67993">
      <w:pPr>
        <w:ind w:right="567"/>
        <w:jc w:val="both"/>
        <w:rPr>
          <w:rFonts w:ascii="Calibri" w:hAnsi="Calibri" w:cs="Arial"/>
          <w:sz w:val="24"/>
          <w:szCs w:val="28"/>
        </w:rPr>
      </w:pPr>
    </w:p>
    <w:p w14:paraId="16E196A5" w14:textId="77777777" w:rsidR="00C67993" w:rsidRPr="00CB19A3" w:rsidRDefault="00C67993" w:rsidP="00C67993">
      <w:pPr>
        <w:ind w:right="567"/>
        <w:jc w:val="both"/>
        <w:rPr>
          <w:rFonts w:ascii="Calibri" w:hAnsi="Calibri" w:cs="Arial"/>
          <w:sz w:val="24"/>
          <w:szCs w:val="28"/>
        </w:rPr>
      </w:pPr>
      <w:r>
        <w:rPr>
          <w:rFonts w:ascii="Calibri" w:hAnsi="Calibri" w:cs="Arial"/>
          <w:sz w:val="24"/>
          <w:szCs w:val="28"/>
        </w:rPr>
        <w:tab/>
      </w:r>
      <w:r w:rsidRPr="00CB19A3">
        <w:rPr>
          <w:rFonts w:ascii="Calibri" w:hAnsi="Calibri" w:cs="Arial"/>
          <w:sz w:val="24"/>
          <w:szCs w:val="28"/>
        </w:rPr>
        <w:t>В съответствие с изискванията на чл.</w:t>
      </w:r>
      <w:r>
        <w:rPr>
          <w:rFonts w:ascii="Calibri" w:hAnsi="Calibri" w:cs="Arial"/>
          <w:sz w:val="24"/>
          <w:szCs w:val="28"/>
        </w:rPr>
        <w:t xml:space="preserve"> </w:t>
      </w:r>
      <w:r w:rsidRPr="00CB19A3">
        <w:rPr>
          <w:rFonts w:ascii="Calibri" w:hAnsi="Calibri" w:cs="Arial"/>
          <w:sz w:val="24"/>
          <w:szCs w:val="28"/>
        </w:rPr>
        <w:t>7 от Регламент (ЕС) 596/2014, Дружеството декларира следното:</w:t>
      </w:r>
    </w:p>
    <w:p w14:paraId="675CEE7D" w14:textId="77777777" w:rsidR="00C67993" w:rsidRPr="00903891" w:rsidRDefault="00C67993" w:rsidP="00C67993">
      <w:pPr>
        <w:spacing w:before="240"/>
        <w:ind w:right="567"/>
        <w:jc w:val="both"/>
        <w:rPr>
          <w:rFonts w:ascii="Calibri" w:hAnsi="Calibri" w:cs="Arial"/>
          <w:b/>
          <w:i/>
          <w:sz w:val="24"/>
          <w:szCs w:val="28"/>
        </w:rPr>
      </w:pPr>
      <w:r w:rsidRPr="00CB19A3">
        <w:rPr>
          <w:rFonts w:ascii="Calibri" w:hAnsi="Calibri" w:cs="Arial"/>
          <w:b/>
          <w:sz w:val="24"/>
          <w:szCs w:val="28"/>
        </w:rPr>
        <w:t xml:space="preserve">1. </w:t>
      </w:r>
      <w:r w:rsidRPr="00903891">
        <w:rPr>
          <w:rFonts w:ascii="Calibri" w:hAnsi="Calibri" w:cs="Arial"/>
          <w:b/>
          <w:i/>
          <w:sz w:val="24"/>
          <w:szCs w:val="28"/>
        </w:rPr>
        <w:t>Точна информация, която не е била направена публично достояние, свързана пряко или косвено с един или повече емитенти или с един или повече финансови инструменти и която, ако бъде направена публично достояние, би могла да повлияе чувствително върху цената на тези финансови инструменти или на свързаните с тях дериватни финансови инструменти.</w:t>
      </w:r>
    </w:p>
    <w:p w14:paraId="7336143D" w14:textId="77777777" w:rsidR="00C67993" w:rsidRPr="00903891" w:rsidRDefault="00C67993" w:rsidP="00C67993">
      <w:pPr>
        <w:spacing w:before="240"/>
        <w:ind w:right="567"/>
        <w:jc w:val="both"/>
        <w:rPr>
          <w:rFonts w:ascii="Calibri" w:hAnsi="Calibri" w:cs="Arial"/>
          <w:sz w:val="24"/>
          <w:szCs w:val="28"/>
        </w:rPr>
      </w:pPr>
      <w:r w:rsidRPr="00CB19A3">
        <w:rPr>
          <w:rFonts w:ascii="Calibri" w:hAnsi="Calibri" w:cs="Arial"/>
          <w:b/>
          <w:i/>
          <w:sz w:val="24"/>
          <w:szCs w:val="28"/>
        </w:rPr>
        <w:tab/>
      </w:r>
      <w:r w:rsidRPr="00903891">
        <w:rPr>
          <w:rFonts w:ascii="Calibri" w:hAnsi="Calibri" w:cs="Arial"/>
          <w:sz w:val="24"/>
          <w:szCs w:val="28"/>
        </w:rPr>
        <w:t>Няма такава информация.</w:t>
      </w:r>
    </w:p>
    <w:p w14:paraId="7CB35866" w14:textId="77777777" w:rsidR="00C67993" w:rsidRPr="00903891" w:rsidRDefault="00C67993" w:rsidP="00C67993">
      <w:pPr>
        <w:spacing w:before="240"/>
        <w:ind w:right="567"/>
        <w:jc w:val="both"/>
        <w:rPr>
          <w:rFonts w:ascii="Calibri" w:eastAsia="SimSun" w:hAnsi="Calibri" w:cs="Arial"/>
          <w:b/>
          <w:i/>
          <w:sz w:val="24"/>
          <w:szCs w:val="28"/>
          <w:lang w:eastAsia="zh-CN"/>
        </w:rPr>
      </w:pPr>
      <w:r w:rsidRPr="00CB19A3">
        <w:rPr>
          <w:rFonts w:ascii="Calibri" w:eastAsia="SimSun" w:hAnsi="Calibri" w:cs="Arial"/>
          <w:b/>
          <w:sz w:val="24"/>
          <w:szCs w:val="28"/>
          <w:lang w:eastAsia="zh-CN"/>
        </w:rPr>
        <w:t xml:space="preserve">2. </w:t>
      </w:r>
      <w:r w:rsidRPr="00903891">
        <w:rPr>
          <w:rFonts w:ascii="Calibri" w:eastAsia="SimSun" w:hAnsi="Calibri" w:cs="Arial"/>
          <w:b/>
          <w:i/>
          <w:sz w:val="24"/>
          <w:szCs w:val="28"/>
          <w:lang w:eastAsia="zh-CN"/>
        </w:rPr>
        <w:t>Точна информация, която не е била направена публично достояние, свързана пряко или косвено с един или повече стокови деривати или свързана пряко със свързания спот договор за стоки и която, ако бъде направена публично достояние, би могла да повлияе чувствително върху цените на тези деривати или свързани спот договори за стоки и когато става въпрос за информация, която може основателно да се очаква да бъде разкрита или трябва да бъде разкрита по силата на законовите или подзаконовите разпоредби на равнището на Съюза или на национално равнище, пазарните правила, договорите, обичайните правила или практики на съответните пазари на стокови деривати или спот пазари.</w:t>
      </w:r>
    </w:p>
    <w:p w14:paraId="07534528" w14:textId="77777777" w:rsidR="00C67993" w:rsidRPr="00903891" w:rsidRDefault="00C67993" w:rsidP="00C67993">
      <w:pPr>
        <w:spacing w:before="240"/>
        <w:ind w:right="567" w:firstLine="720"/>
        <w:jc w:val="both"/>
        <w:rPr>
          <w:rFonts w:ascii="Calibri" w:eastAsia="SimSun" w:hAnsi="Calibri" w:cs="Arial"/>
          <w:sz w:val="24"/>
          <w:szCs w:val="28"/>
          <w:lang w:eastAsia="zh-CN"/>
        </w:rPr>
      </w:pPr>
      <w:r w:rsidRPr="00903891">
        <w:rPr>
          <w:rFonts w:ascii="Calibri" w:eastAsia="SimSun" w:hAnsi="Calibri" w:cs="Arial"/>
          <w:sz w:val="24"/>
          <w:szCs w:val="28"/>
          <w:lang w:eastAsia="zh-CN"/>
        </w:rPr>
        <w:t>Няма такава информация.</w:t>
      </w:r>
    </w:p>
    <w:p w14:paraId="2090CC00" w14:textId="77777777" w:rsidR="00C67993" w:rsidRPr="00903891" w:rsidRDefault="00C67993" w:rsidP="00C67993">
      <w:pPr>
        <w:spacing w:before="240"/>
        <w:ind w:right="567"/>
        <w:jc w:val="both"/>
        <w:rPr>
          <w:rFonts w:ascii="Calibri" w:eastAsia="SimSun" w:hAnsi="Calibri" w:cs="Arial"/>
          <w:b/>
          <w:i/>
          <w:sz w:val="24"/>
          <w:szCs w:val="28"/>
          <w:lang w:eastAsia="zh-CN"/>
        </w:rPr>
      </w:pPr>
      <w:r w:rsidRPr="00CB19A3">
        <w:rPr>
          <w:rFonts w:ascii="Calibri" w:eastAsia="SimSun" w:hAnsi="Calibri" w:cs="Arial"/>
          <w:b/>
          <w:sz w:val="24"/>
          <w:szCs w:val="28"/>
          <w:lang w:eastAsia="zh-CN"/>
        </w:rPr>
        <w:t xml:space="preserve">3. </w:t>
      </w:r>
      <w:r w:rsidRPr="00903891">
        <w:rPr>
          <w:rFonts w:ascii="Calibri" w:eastAsia="SimSun" w:hAnsi="Calibri" w:cs="Arial"/>
          <w:b/>
          <w:i/>
          <w:sz w:val="24"/>
          <w:szCs w:val="28"/>
          <w:lang w:eastAsia="zh-CN"/>
        </w:rPr>
        <w:t>Точна информация, която не е била направена публично достояние, която се отнася пряко или косвено до един или повече квоти за емисии или продаваните на търг основани на тях продукти която, ако бъде направена публично достояние, би могла да повлияе чувствително върху цената на тези инструменти или на свързаните с тях дериватни финансови инструменти.</w:t>
      </w:r>
    </w:p>
    <w:p w14:paraId="6DEEE5E0" w14:textId="77777777" w:rsidR="00C67993" w:rsidRPr="00903891" w:rsidRDefault="00C67993" w:rsidP="00C67993">
      <w:pPr>
        <w:spacing w:before="240"/>
        <w:ind w:right="567" w:firstLine="720"/>
        <w:jc w:val="both"/>
        <w:rPr>
          <w:rFonts w:ascii="Calibri" w:eastAsia="SimSun" w:hAnsi="Calibri" w:cs="Arial"/>
          <w:sz w:val="24"/>
          <w:szCs w:val="28"/>
          <w:lang w:eastAsia="zh-CN"/>
        </w:rPr>
      </w:pPr>
      <w:r w:rsidRPr="00903891">
        <w:rPr>
          <w:rFonts w:ascii="Calibri" w:hAnsi="Calibri" w:cs="Arial"/>
          <w:sz w:val="24"/>
          <w:szCs w:val="28"/>
        </w:rPr>
        <w:t>Няма такава информация.</w:t>
      </w:r>
    </w:p>
    <w:p w14:paraId="00F5C654" w14:textId="77777777" w:rsidR="00C67993" w:rsidRPr="00903891" w:rsidRDefault="00C67993" w:rsidP="00C67993">
      <w:pPr>
        <w:spacing w:before="240"/>
        <w:ind w:right="567"/>
        <w:jc w:val="both"/>
        <w:rPr>
          <w:rFonts w:ascii="Calibri" w:eastAsia="SimSun" w:hAnsi="Calibri" w:cs="Arial"/>
          <w:b/>
          <w:i/>
          <w:sz w:val="24"/>
          <w:szCs w:val="28"/>
          <w:lang w:eastAsia="zh-CN"/>
        </w:rPr>
      </w:pPr>
      <w:r w:rsidRPr="00CB19A3">
        <w:rPr>
          <w:rFonts w:ascii="Calibri" w:eastAsia="SimSun" w:hAnsi="Calibri" w:cs="Arial"/>
          <w:b/>
          <w:sz w:val="24"/>
          <w:szCs w:val="28"/>
          <w:lang w:eastAsia="zh-CN"/>
        </w:rPr>
        <w:t>4</w:t>
      </w:r>
      <w:r w:rsidRPr="00903891">
        <w:rPr>
          <w:rFonts w:ascii="Calibri" w:eastAsia="SimSun" w:hAnsi="Calibri" w:cs="Arial"/>
          <w:b/>
          <w:i/>
          <w:sz w:val="24"/>
          <w:szCs w:val="28"/>
          <w:lang w:eastAsia="zh-CN"/>
        </w:rPr>
        <w:t xml:space="preserve">. Точна информация за лицата, натоварени с изпълнението на нареждания относно финансови инструменти, тя означава също информация, предадена от клиент и свързана с подадени, но все още неизпълнени нареждания на клиента, свързани с финансови инструменти, която е точна, отнася се пряко или косвено до един или повече емитенти на финансови инструменти или до един или повече финансови инструменти и, ако бъде разкрита публично, би могла да повлияе чувствително върху </w:t>
      </w:r>
      <w:r w:rsidRPr="00903891">
        <w:rPr>
          <w:rFonts w:ascii="Calibri" w:eastAsia="SimSun" w:hAnsi="Calibri" w:cs="Arial"/>
          <w:b/>
          <w:i/>
          <w:sz w:val="24"/>
          <w:szCs w:val="28"/>
          <w:lang w:eastAsia="zh-CN"/>
        </w:rPr>
        <w:lastRenderedPageBreak/>
        <w:t>цената на тези финансови инструменти, цената на свързаните спот договори за стоки или на свързаните с тях дериватни финансови инструменти.</w:t>
      </w:r>
    </w:p>
    <w:p w14:paraId="6FC6330B" w14:textId="77777777" w:rsidR="00C67993" w:rsidRPr="00903891" w:rsidRDefault="00C67993" w:rsidP="00C67993">
      <w:pPr>
        <w:spacing w:before="240"/>
        <w:ind w:right="567" w:firstLine="720"/>
        <w:jc w:val="both"/>
        <w:rPr>
          <w:rFonts w:ascii="Calibri" w:eastAsia="SimSun" w:hAnsi="Calibri" w:cs="Arial"/>
          <w:sz w:val="24"/>
          <w:szCs w:val="28"/>
          <w:lang w:eastAsia="zh-CN"/>
        </w:rPr>
      </w:pPr>
      <w:r w:rsidRPr="00903891">
        <w:rPr>
          <w:rFonts w:ascii="Calibri" w:hAnsi="Calibri" w:cs="Arial"/>
          <w:sz w:val="24"/>
          <w:szCs w:val="28"/>
        </w:rPr>
        <w:t>Няма такава информация.</w:t>
      </w:r>
    </w:p>
    <w:p w14:paraId="21A1257C" w14:textId="77777777" w:rsidR="00C67993" w:rsidRDefault="00C67993" w:rsidP="00C67993">
      <w:pPr>
        <w:ind w:left="180"/>
        <w:jc w:val="both"/>
        <w:rPr>
          <w:rFonts w:ascii="Calibri" w:eastAsia="SimSun" w:hAnsi="Calibri" w:cs="Arial"/>
          <w:i/>
          <w:sz w:val="24"/>
          <w:szCs w:val="28"/>
          <w:lang w:eastAsia="zh-CN"/>
        </w:rPr>
      </w:pPr>
    </w:p>
    <w:p w14:paraId="3E27C80F" w14:textId="77777777" w:rsidR="00C67993" w:rsidRDefault="00C67993" w:rsidP="00C67993">
      <w:pPr>
        <w:ind w:left="180"/>
        <w:jc w:val="both"/>
        <w:rPr>
          <w:rFonts w:ascii="Calibri" w:eastAsia="SimSun" w:hAnsi="Calibri" w:cs="Arial"/>
          <w:i/>
          <w:sz w:val="24"/>
          <w:szCs w:val="28"/>
          <w:lang w:eastAsia="zh-CN"/>
        </w:rPr>
      </w:pPr>
    </w:p>
    <w:p w14:paraId="1732C244" w14:textId="77777777" w:rsidR="00C67993" w:rsidRDefault="00C67993" w:rsidP="00C67993">
      <w:pPr>
        <w:ind w:left="180"/>
        <w:jc w:val="both"/>
        <w:rPr>
          <w:rFonts w:ascii="Calibri" w:eastAsia="SimSun" w:hAnsi="Calibri" w:cs="Arial"/>
          <w:i/>
          <w:sz w:val="24"/>
          <w:szCs w:val="28"/>
          <w:lang w:eastAsia="zh-CN"/>
        </w:rPr>
      </w:pPr>
    </w:p>
    <w:p w14:paraId="115363E0" w14:textId="77777777" w:rsidR="00C67993" w:rsidRPr="00C67993" w:rsidRDefault="00C67993" w:rsidP="00C67993">
      <w:pPr>
        <w:ind w:left="180"/>
        <w:jc w:val="both"/>
        <w:rPr>
          <w:rFonts w:ascii="Calibri" w:eastAsia="SimSun" w:hAnsi="Calibri" w:cs="Arial"/>
          <w:b/>
          <w:sz w:val="24"/>
          <w:szCs w:val="28"/>
          <w:lang w:val="ru-RU" w:eastAsia="zh-CN"/>
        </w:rPr>
      </w:pPr>
      <w:r>
        <w:rPr>
          <w:rFonts w:ascii="Calibri" w:eastAsia="SimSun" w:hAnsi="Calibri" w:cs="Arial"/>
          <w:b/>
          <w:sz w:val="24"/>
          <w:szCs w:val="28"/>
          <w:lang w:eastAsia="zh-CN"/>
        </w:rPr>
        <w:t>25.01</w:t>
      </w:r>
      <w:r w:rsidRPr="00C67993">
        <w:rPr>
          <w:rFonts w:ascii="Calibri" w:eastAsia="SimSun" w:hAnsi="Calibri" w:cs="Arial"/>
          <w:b/>
          <w:sz w:val="24"/>
          <w:szCs w:val="28"/>
          <w:lang w:val="ru-RU" w:eastAsia="zh-CN"/>
        </w:rPr>
        <w:t>.202</w:t>
      </w:r>
      <w:r>
        <w:rPr>
          <w:rFonts w:ascii="Calibri" w:eastAsia="SimSun" w:hAnsi="Calibri" w:cs="Arial"/>
          <w:b/>
          <w:sz w:val="24"/>
          <w:szCs w:val="28"/>
          <w:lang w:eastAsia="zh-CN"/>
        </w:rPr>
        <w:t>2</w:t>
      </w:r>
      <w:r w:rsidRPr="00C67993">
        <w:rPr>
          <w:rFonts w:ascii="Calibri" w:eastAsia="SimSun" w:hAnsi="Calibri" w:cs="Arial"/>
          <w:b/>
          <w:sz w:val="24"/>
          <w:szCs w:val="28"/>
          <w:lang w:val="ru-RU" w:eastAsia="zh-CN"/>
        </w:rPr>
        <w:t xml:space="preserve"> </w:t>
      </w:r>
      <w:r w:rsidRPr="00207B5C">
        <w:rPr>
          <w:rFonts w:ascii="Calibri" w:eastAsia="SimSun" w:hAnsi="Calibri" w:cs="Arial"/>
          <w:b/>
          <w:sz w:val="24"/>
          <w:szCs w:val="28"/>
          <w:lang w:eastAsia="zh-CN"/>
        </w:rPr>
        <w:t>г.</w:t>
      </w:r>
      <w:r>
        <w:rPr>
          <w:rFonts w:ascii="Calibri" w:eastAsia="SimSun" w:hAnsi="Calibri" w:cs="Arial"/>
          <w:b/>
          <w:sz w:val="24"/>
          <w:szCs w:val="28"/>
          <w:lang w:eastAsia="zh-CN"/>
        </w:rPr>
        <w:t xml:space="preserve"> </w:t>
      </w:r>
      <w:r>
        <w:rPr>
          <w:rFonts w:ascii="Calibri" w:eastAsia="SimSun" w:hAnsi="Calibri" w:cs="Arial"/>
          <w:b/>
          <w:sz w:val="24"/>
          <w:szCs w:val="28"/>
          <w:lang w:eastAsia="zh-CN"/>
        </w:rPr>
        <w:tab/>
      </w:r>
      <w:r>
        <w:rPr>
          <w:rFonts w:ascii="Calibri" w:eastAsia="SimSun" w:hAnsi="Calibri" w:cs="Arial"/>
          <w:b/>
          <w:sz w:val="24"/>
          <w:szCs w:val="28"/>
          <w:lang w:eastAsia="zh-CN"/>
        </w:rPr>
        <w:tab/>
      </w:r>
      <w:r>
        <w:rPr>
          <w:rFonts w:ascii="Calibri" w:eastAsia="SimSun" w:hAnsi="Calibri" w:cs="Arial"/>
          <w:b/>
          <w:sz w:val="24"/>
          <w:szCs w:val="28"/>
          <w:lang w:eastAsia="zh-CN"/>
        </w:rPr>
        <w:tab/>
      </w:r>
      <w:r>
        <w:rPr>
          <w:rFonts w:ascii="Calibri" w:eastAsia="SimSun" w:hAnsi="Calibri" w:cs="Arial"/>
          <w:b/>
          <w:sz w:val="24"/>
          <w:szCs w:val="28"/>
          <w:lang w:eastAsia="zh-CN"/>
        </w:rPr>
        <w:tab/>
        <w:t xml:space="preserve">Изпълнителен директор: </w:t>
      </w:r>
      <w:r w:rsidRPr="00C67993">
        <w:rPr>
          <w:rFonts w:ascii="Calibri" w:eastAsia="SimSun" w:hAnsi="Calibri" w:cs="Arial"/>
          <w:b/>
          <w:sz w:val="24"/>
          <w:szCs w:val="28"/>
          <w:lang w:val="ru-RU" w:eastAsia="zh-CN"/>
        </w:rPr>
        <w:t>______________________</w:t>
      </w:r>
    </w:p>
    <w:p w14:paraId="472B528E" w14:textId="2571D5C8" w:rsidR="00C67993" w:rsidRPr="00914352" w:rsidRDefault="00C67993" w:rsidP="00C67993">
      <w:pPr>
        <w:ind w:left="180"/>
        <w:jc w:val="both"/>
        <w:rPr>
          <w:rFonts w:ascii="Calibri" w:eastAsia="SimSun" w:hAnsi="Calibri" w:cs="Arial"/>
          <w:b/>
          <w:sz w:val="24"/>
          <w:szCs w:val="28"/>
          <w:lang w:eastAsia="zh-CN"/>
        </w:rPr>
      </w:pPr>
      <w:r>
        <w:rPr>
          <w:rFonts w:ascii="Calibri" w:eastAsia="SimSun" w:hAnsi="Calibri" w:cs="Arial"/>
          <w:b/>
          <w:sz w:val="24"/>
          <w:szCs w:val="28"/>
          <w:lang w:eastAsia="zh-CN"/>
        </w:rPr>
        <w:t>гр. София</w:t>
      </w:r>
      <w:r>
        <w:rPr>
          <w:rFonts w:ascii="Calibri" w:eastAsia="SimSun" w:hAnsi="Calibri" w:cs="Arial"/>
          <w:b/>
          <w:sz w:val="24"/>
          <w:szCs w:val="28"/>
          <w:lang w:eastAsia="zh-CN"/>
        </w:rPr>
        <w:tab/>
      </w:r>
      <w:r>
        <w:rPr>
          <w:rFonts w:ascii="Calibri" w:eastAsia="SimSun" w:hAnsi="Calibri" w:cs="Arial"/>
          <w:b/>
          <w:sz w:val="24"/>
          <w:szCs w:val="28"/>
          <w:lang w:eastAsia="zh-CN"/>
        </w:rPr>
        <w:tab/>
      </w:r>
      <w:r>
        <w:rPr>
          <w:rFonts w:ascii="Calibri" w:eastAsia="SimSun" w:hAnsi="Calibri" w:cs="Arial"/>
          <w:b/>
          <w:sz w:val="24"/>
          <w:szCs w:val="28"/>
          <w:lang w:eastAsia="zh-CN"/>
        </w:rPr>
        <w:tab/>
      </w:r>
      <w:r>
        <w:rPr>
          <w:rFonts w:ascii="Calibri" w:eastAsia="SimSun" w:hAnsi="Calibri" w:cs="Arial"/>
          <w:b/>
          <w:sz w:val="24"/>
          <w:szCs w:val="28"/>
          <w:lang w:eastAsia="zh-CN"/>
        </w:rPr>
        <w:tab/>
      </w:r>
      <w:r>
        <w:rPr>
          <w:rFonts w:ascii="Calibri" w:eastAsia="SimSun" w:hAnsi="Calibri" w:cs="Arial"/>
          <w:b/>
          <w:sz w:val="24"/>
          <w:szCs w:val="28"/>
          <w:lang w:eastAsia="zh-CN"/>
        </w:rPr>
        <w:tab/>
      </w:r>
      <w:r>
        <w:rPr>
          <w:rFonts w:ascii="Calibri" w:eastAsia="SimSun" w:hAnsi="Calibri" w:cs="Arial"/>
          <w:b/>
          <w:sz w:val="24"/>
          <w:szCs w:val="28"/>
          <w:lang w:eastAsia="zh-CN"/>
        </w:rPr>
        <w:tab/>
      </w:r>
      <w:r>
        <w:rPr>
          <w:rFonts w:ascii="Calibri" w:eastAsia="SimSun" w:hAnsi="Calibri" w:cs="Arial"/>
          <w:b/>
          <w:sz w:val="24"/>
          <w:szCs w:val="28"/>
          <w:lang w:eastAsia="zh-CN"/>
        </w:rPr>
        <w:tab/>
      </w:r>
      <w:r>
        <w:rPr>
          <w:rFonts w:ascii="Calibri" w:eastAsia="SimSun" w:hAnsi="Calibri" w:cs="Arial"/>
          <w:b/>
          <w:sz w:val="24"/>
          <w:szCs w:val="28"/>
          <w:lang w:eastAsia="zh-CN"/>
        </w:rPr>
        <w:tab/>
      </w:r>
      <w:r>
        <w:rPr>
          <w:rFonts w:ascii="Calibri" w:eastAsia="SimSun" w:hAnsi="Calibri" w:cs="Arial"/>
          <w:b/>
          <w:sz w:val="24"/>
          <w:szCs w:val="28"/>
          <w:lang w:eastAsia="zh-CN"/>
        </w:rPr>
        <w:tab/>
        <w:t xml:space="preserve">      </w:t>
      </w:r>
      <w:r w:rsidR="00914352">
        <w:rPr>
          <w:rFonts w:ascii="Calibri" w:eastAsia="SimSun" w:hAnsi="Calibri" w:cs="Arial"/>
          <w:b/>
          <w:sz w:val="24"/>
          <w:szCs w:val="28"/>
          <w:lang w:eastAsia="zh-CN"/>
        </w:rPr>
        <w:t>Иван Пирински</w:t>
      </w:r>
    </w:p>
    <w:p w14:paraId="640AE4AE" w14:textId="77777777" w:rsidR="00C67993" w:rsidRPr="00CB19A3" w:rsidRDefault="00C67993" w:rsidP="00C67993">
      <w:pPr>
        <w:jc w:val="both"/>
      </w:pPr>
    </w:p>
    <w:p w14:paraId="2DB4EA46" w14:textId="77777777" w:rsidR="00EB7FCE" w:rsidRPr="00E267F6" w:rsidRDefault="00EB7FCE">
      <w:pPr>
        <w:pStyle w:val="BodyText"/>
        <w:rPr>
          <w:rFonts w:asciiTheme="minorHAnsi" w:hAnsiTheme="minorHAnsi" w:cstheme="minorHAnsi"/>
          <w:b w:val="0"/>
        </w:rPr>
      </w:pPr>
    </w:p>
    <w:p w14:paraId="108C49E9" w14:textId="77777777" w:rsidR="00EB7FCE" w:rsidRPr="00E267F6" w:rsidRDefault="00EB7FCE">
      <w:pPr>
        <w:pStyle w:val="BodyText"/>
        <w:spacing w:before="9"/>
        <w:rPr>
          <w:rFonts w:asciiTheme="minorHAnsi" w:hAnsiTheme="minorHAnsi" w:cstheme="minorHAnsi"/>
          <w:b w:val="0"/>
        </w:rPr>
      </w:pPr>
    </w:p>
    <w:p w14:paraId="7129A893" w14:textId="77777777" w:rsidR="00EB7FCE" w:rsidRPr="00E267F6" w:rsidRDefault="00EB7FCE">
      <w:pPr>
        <w:pStyle w:val="BodyText"/>
        <w:rPr>
          <w:rFonts w:asciiTheme="minorHAnsi" w:hAnsiTheme="minorHAnsi" w:cstheme="minorHAnsi"/>
          <w:b w:val="0"/>
        </w:rPr>
      </w:pPr>
    </w:p>
    <w:p w14:paraId="663506D6" w14:textId="77777777" w:rsidR="00EB7FCE" w:rsidRPr="00E267F6" w:rsidRDefault="00EB7FCE">
      <w:pPr>
        <w:pStyle w:val="BodyText"/>
        <w:rPr>
          <w:rFonts w:asciiTheme="minorHAnsi" w:hAnsiTheme="minorHAnsi" w:cstheme="minorHAnsi"/>
          <w:b w:val="0"/>
        </w:rPr>
      </w:pPr>
    </w:p>
    <w:p w14:paraId="1B542E44" w14:textId="77777777" w:rsidR="00EB7FCE" w:rsidRPr="00E267F6" w:rsidRDefault="00EB7FCE">
      <w:pPr>
        <w:pStyle w:val="BodyText"/>
        <w:rPr>
          <w:rFonts w:asciiTheme="minorHAnsi" w:hAnsiTheme="minorHAnsi" w:cstheme="minorHAnsi"/>
          <w:b w:val="0"/>
        </w:rPr>
      </w:pPr>
    </w:p>
    <w:p w14:paraId="077F971C" w14:textId="77777777" w:rsidR="00EB7FCE" w:rsidRDefault="00EB7FCE">
      <w:pPr>
        <w:pStyle w:val="BodyText"/>
        <w:rPr>
          <w:b w:val="0"/>
          <w:sz w:val="20"/>
        </w:rPr>
      </w:pPr>
    </w:p>
    <w:p w14:paraId="44D4CDAF" w14:textId="77777777" w:rsidR="00EB7FCE" w:rsidRDefault="00EB7FCE">
      <w:pPr>
        <w:pStyle w:val="BodyText"/>
        <w:rPr>
          <w:b w:val="0"/>
          <w:sz w:val="20"/>
        </w:rPr>
      </w:pPr>
    </w:p>
    <w:p w14:paraId="32E39B7A" w14:textId="77777777" w:rsidR="00EB7FCE" w:rsidRDefault="00EB7FCE">
      <w:pPr>
        <w:pStyle w:val="BodyText"/>
        <w:rPr>
          <w:b w:val="0"/>
          <w:sz w:val="20"/>
        </w:rPr>
      </w:pPr>
    </w:p>
    <w:p w14:paraId="60D0562F" w14:textId="77777777" w:rsidR="00EB7FCE" w:rsidRDefault="00EB7FCE">
      <w:pPr>
        <w:pStyle w:val="BodyText"/>
        <w:rPr>
          <w:b w:val="0"/>
          <w:sz w:val="20"/>
        </w:rPr>
      </w:pPr>
    </w:p>
    <w:p w14:paraId="33873220" w14:textId="77777777" w:rsidR="00EB7FCE" w:rsidRDefault="00EB7FCE">
      <w:pPr>
        <w:pStyle w:val="BodyText"/>
        <w:rPr>
          <w:b w:val="0"/>
          <w:sz w:val="20"/>
        </w:rPr>
      </w:pPr>
    </w:p>
    <w:p w14:paraId="649AC26D" w14:textId="77777777" w:rsidR="00EB7FCE" w:rsidRDefault="00EB7FCE">
      <w:pPr>
        <w:pStyle w:val="BodyText"/>
        <w:rPr>
          <w:b w:val="0"/>
          <w:sz w:val="20"/>
        </w:rPr>
      </w:pPr>
    </w:p>
    <w:p w14:paraId="2021B068" w14:textId="77777777" w:rsidR="00EB7FCE" w:rsidRDefault="00EB7FCE">
      <w:pPr>
        <w:pStyle w:val="BodyText"/>
        <w:rPr>
          <w:b w:val="0"/>
          <w:sz w:val="20"/>
        </w:rPr>
      </w:pPr>
    </w:p>
    <w:p w14:paraId="47795355" w14:textId="77777777" w:rsidR="00EB7FCE" w:rsidRDefault="00EB7FCE">
      <w:pPr>
        <w:pStyle w:val="BodyText"/>
        <w:rPr>
          <w:b w:val="0"/>
          <w:sz w:val="20"/>
        </w:rPr>
      </w:pPr>
    </w:p>
    <w:p w14:paraId="147EBDA5" w14:textId="77777777" w:rsidR="00EB7FCE" w:rsidRDefault="00EB7FCE">
      <w:pPr>
        <w:pStyle w:val="BodyText"/>
        <w:rPr>
          <w:b w:val="0"/>
          <w:sz w:val="20"/>
        </w:rPr>
      </w:pPr>
    </w:p>
    <w:p w14:paraId="5D3E2DA5" w14:textId="77777777" w:rsidR="00EB7FCE" w:rsidRDefault="00EB7FCE">
      <w:pPr>
        <w:pStyle w:val="BodyText"/>
        <w:rPr>
          <w:b w:val="0"/>
          <w:sz w:val="20"/>
        </w:rPr>
      </w:pPr>
    </w:p>
    <w:p w14:paraId="3569F074" w14:textId="77777777" w:rsidR="00EB7FCE" w:rsidRDefault="00EB7FCE">
      <w:pPr>
        <w:pStyle w:val="BodyText"/>
        <w:rPr>
          <w:b w:val="0"/>
          <w:sz w:val="20"/>
        </w:rPr>
      </w:pPr>
    </w:p>
    <w:p w14:paraId="3C3A5FFE" w14:textId="77777777" w:rsidR="00EB7FCE" w:rsidRDefault="00EB7FCE">
      <w:pPr>
        <w:pStyle w:val="BodyText"/>
        <w:spacing w:before="8"/>
        <w:rPr>
          <w:b w:val="0"/>
          <w:sz w:val="23"/>
        </w:rPr>
      </w:pPr>
    </w:p>
    <w:sectPr w:rsidR="00EB7FCE" w:rsidSect="009E176E">
      <w:headerReference w:type="default" r:id="rId9"/>
      <w:footerReference w:type="default" r:id="rId10"/>
      <w:type w:val="continuous"/>
      <w:pgSz w:w="11910" w:h="16840"/>
      <w:pgMar w:top="720" w:right="740" w:bottom="280" w:left="1120" w:header="42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E6F58" w14:textId="77777777" w:rsidR="005D63A0" w:rsidRDefault="005D63A0" w:rsidP="009E176E">
      <w:r>
        <w:separator/>
      </w:r>
    </w:p>
  </w:endnote>
  <w:endnote w:type="continuationSeparator" w:id="0">
    <w:p w14:paraId="18C16A4D" w14:textId="77777777" w:rsidR="005D63A0" w:rsidRDefault="005D63A0" w:rsidP="009E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366090"/>
      <w:docPartObj>
        <w:docPartGallery w:val="Page Numbers (Bottom of Page)"/>
        <w:docPartUnique/>
      </w:docPartObj>
    </w:sdtPr>
    <w:sdtEndPr>
      <w:rPr>
        <w:noProof/>
      </w:rPr>
    </w:sdtEndPr>
    <w:sdtContent>
      <w:p w14:paraId="105802DB" w14:textId="77777777" w:rsidR="009E176E" w:rsidRDefault="009E176E" w:rsidP="0043469C">
        <w:pPr>
          <w:pStyle w:val="Footer"/>
          <w:pBdr>
            <w:top w:val="single" w:sz="4" w:space="1" w:color="auto"/>
          </w:pBdr>
          <w:jc w:val="right"/>
        </w:pPr>
        <w:r w:rsidRPr="00441C7A">
          <w:rPr>
            <w:rFonts w:asciiTheme="minorHAnsi" w:hAnsiTheme="minorHAnsi" w:cstheme="minorHAnsi"/>
            <w:b/>
            <w:sz w:val="18"/>
            <w:szCs w:val="18"/>
          </w:rPr>
          <w:fldChar w:fldCharType="begin"/>
        </w:r>
        <w:r w:rsidRPr="00441C7A">
          <w:rPr>
            <w:rFonts w:asciiTheme="minorHAnsi" w:hAnsiTheme="minorHAnsi" w:cstheme="minorHAnsi"/>
            <w:b/>
            <w:sz w:val="18"/>
            <w:szCs w:val="18"/>
          </w:rPr>
          <w:instrText xml:space="preserve"> PAGE   \* MERGEFORMAT </w:instrText>
        </w:r>
        <w:r w:rsidRPr="00441C7A">
          <w:rPr>
            <w:rFonts w:asciiTheme="minorHAnsi" w:hAnsiTheme="minorHAnsi" w:cstheme="minorHAnsi"/>
            <w:b/>
            <w:sz w:val="18"/>
            <w:szCs w:val="18"/>
          </w:rPr>
          <w:fldChar w:fldCharType="separate"/>
        </w:r>
        <w:r w:rsidR="008A700F">
          <w:rPr>
            <w:rFonts w:asciiTheme="minorHAnsi" w:hAnsiTheme="minorHAnsi" w:cstheme="minorHAnsi"/>
            <w:b/>
            <w:noProof/>
            <w:sz w:val="18"/>
            <w:szCs w:val="18"/>
          </w:rPr>
          <w:t>1</w:t>
        </w:r>
        <w:r w:rsidRPr="00441C7A">
          <w:rPr>
            <w:rFonts w:asciiTheme="minorHAnsi" w:hAnsiTheme="minorHAnsi" w:cstheme="minorHAnsi"/>
            <w:b/>
            <w:noProof/>
            <w:sz w:val="18"/>
            <w:szCs w:val="18"/>
          </w:rPr>
          <w:fldChar w:fldCharType="end"/>
        </w:r>
      </w:p>
    </w:sdtContent>
  </w:sdt>
  <w:p w14:paraId="1B723812" w14:textId="77777777" w:rsidR="009E176E" w:rsidRDefault="009E1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1628D" w14:textId="77777777" w:rsidR="005D63A0" w:rsidRDefault="005D63A0" w:rsidP="009E176E">
      <w:r>
        <w:separator/>
      </w:r>
    </w:p>
  </w:footnote>
  <w:footnote w:type="continuationSeparator" w:id="0">
    <w:p w14:paraId="5BDC4F0F" w14:textId="77777777" w:rsidR="005D63A0" w:rsidRDefault="005D63A0" w:rsidP="009E1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4A2B" w14:textId="7E0AB707" w:rsidR="009E176E" w:rsidRPr="00C67993" w:rsidRDefault="009E176E" w:rsidP="009E176E">
    <w:pPr>
      <w:pStyle w:val="Header"/>
      <w:rPr>
        <w:rFonts w:asciiTheme="minorHAnsi" w:hAnsiTheme="minorHAnsi" w:cstheme="minorHAnsi"/>
        <w:sz w:val="32"/>
        <w:szCs w:val="32"/>
      </w:rPr>
    </w:pPr>
    <w:r w:rsidRPr="00C67993">
      <w:rPr>
        <w:rFonts w:asciiTheme="minorHAnsi" w:hAnsiTheme="minorHAnsi" w:cstheme="minorHAnsi"/>
        <w:sz w:val="32"/>
        <w:szCs w:val="32"/>
      </w:rPr>
      <w:t xml:space="preserve">Компас Фонд за </w:t>
    </w:r>
    <w:r w:rsidR="00C67993" w:rsidRPr="00C67993">
      <w:rPr>
        <w:rFonts w:asciiTheme="minorHAnsi" w:hAnsiTheme="minorHAnsi" w:cstheme="minorHAnsi"/>
        <w:sz w:val="32"/>
        <w:szCs w:val="32"/>
      </w:rPr>
      <w:t>В</w:t>
    </w:r>
    <w:r w:rsidRPr="00C67993">
      <w:rPr>
        <w:rFonts w:asciiTheme="minorHAnsi" w:hAnsiTheme="minorHAnsi" w:cstheme="minorHAnsi"/>
        <w:sz w:val="32"/>
        <w:szCs w:val="32"/>
      </w:rPr>
      <w:t>земания АДСИЦ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FCE"/>
    <w:rsid w:val="00056A73"/>
    <w:rsid w:val="001475A3"/>
    <w:rsid w:val="001B5BE3"/>
    <w:rsid w:val="00206487"/>
    <w:rsid w:val="00344477"/>
    <w:rsid w:val="0043469C"/>
    <w:rsid w:val="00441C7A"/>
    <w:rsid w:val="0055051E"/>
    <w:rsid w:val="005D63A0"/>
    <w:rsid w:val="007613F2"/>
    <w:rsid w:val="0078026A"/>
    <w:rsid w:val="007C3EDF"/>
    <w:rsid w:val="00894DE8"/>
    <w:rsid w:val="008A700F"/>
    <w:rsid w:val="008B4F33"/>
    <w:rsid w:val="008D304F"/>
    <w:rsid w:val="00914352"/>
    <w:rsid w:val="009E176E"/>
    <w:rsid w:val="00C67993"/>
    <w:rsid w:val="00CB6221"/>
    <w:rsid w:val="00D167E2"/>
    <w:rsid w:val="00E267F6"/>
    <w:rsid w:val="00EB7FCE"/>
    <w:rsid w:val="00ED3CF2"/>
    <w:rsid w:val="00F1290C"/>
    <w:rsid w:val="00F2777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2826BA"/>
  <w15:docId w15:val="{46B5984A-BFAB-4DFC-8652-381B059F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
    <w:qFormat/>
    <w:pPr>
      <w:ind w:left="140" w:right="6969"/>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176E"/>
    <w:pPr>
      <w:tabs>
        <w:tab w:val="center" w:pos="4536"/>
        <w:tab w:val="right" w:pos="9072"/>
      </w:tabs>
    </w:pPr>
  </w:style>
  <w:style w:type="character" w:customStyle="1" w:styleId="HeaderChar">
    <w:name w:val="Header Char"/>
    <w:basedOn w:val="DefaultParagraphFont"/>
    <w:link w:val="Header"/>
    <w:uiPriority w:val="99"/>
    <w:rsid w:val="009E176E"/>
    <w:rPr>
      <w:rFonts w:ascii="Times New Roman" w:eastAsia="Times New Roman" w:hAnsi="Times New Roman" w:cs="Times New Roman"/>
      <w:lang w:val="bg-BG"/>
    </w:rPr>
  </w:style>
  <w:style w:type="paragraph" w:styleId="Footer">
    <w:name w:val="footer"/>
    <w:basedOn w:val="Normal"/>
    <w:link w:val="FooterChar"/>
    <w:uiPriority w:val="99"/>
    <w:unhideWhenUsed/>
    <w:rsid w:val="009E176E"/>
    <w:pPr>
      <w:tabs>
        <w:tab w:val="center" w:pos="4536"/>
        <w:tab w:val="right" w:pos="9072"/>
      </w:tabs>
    </w:pPr>
  </w:style>
  <w:style w:type="character" w:customStyle="1" w:styleId="FooterChar">
    <w:name w:val="Footer Char"/>
    <w:basedOn w:val="DefaultParagraphFont"/>
    <w:link w:val="Footer"/>
    <w:uiPriority w:val="99"/>
    <w:rsid w:val="009E176E"/>
    <w:rPr>
      <w:rFonts w:ascii="Times New Roman" w:eastAsia="Times New Roman" w:hAnsi="Times New Roman" w:cs="Times New Roman"/>
      <w:lang w:val="bg-BG"/>
    </w:rPr>
  </w:style>
  <w:style w:type="character" w:styleId="Hyperlink">
    <w:name w:val="Hyperlink"/>
    <w:basedOn w:val="DefaultParagraphFont"/>
    <w:uiPriority w:val="99"/>
    <w:unhideWhenUsed/>
    <w:rsid w:val="00C67993"/>
    <w:rPr>
      <w:color w:val="0000FF" w:themeColor="hyperlink"/>
      <w:u w:val="single"/>
    </w:rPr>
  </w:style>
  <w:style w:type="character" w:styleId="UnresolvedMention">
    <w:name w:val="Unresolved Mention"/>
    <w:basedOn w:val="DefaultParagraphFont"/>
    <w:uiPriority w:val="99"/>
    <w:semiHidden/>
    <w:unhideWhenUsed/>
    <w:rsid w:val="00C67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ass-receivables.eu" TargetMode="External"/><Relationship Id="rId3" Type="http://schemas.openxmlformats.org/officeDocument/2006/relationships/webSettings" Target="webSettings.xml"/><Relationship Id="rId7" Type="http://schemas.openxmlformats.org/officeDocument/2006/relationships/hyperlink" Target="http://www.investor.b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3news.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До</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Svetoslav Markov</dc:creator>
  <cp:lastModifiedBy>Valentin Stoilov</cp:lastModifiedBy>
  <cp:revision>2</cp:revision>
  <dcterms:created xsi:type="dcterms:W3CDTF">2022-01-25T15:21:00Z</dcterms:created>
  <dcterms:modified xsi:type="dcterms:W3CDTF">2022-01-25T15:21:00Z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Acrobat PDFMaker 11 for Word</vt:lpwstr>
  </property>
  <property fmtid="{D5CDD505-2E9C-101B-9397-08002B2CF9AE}" pid="4" name="LastSaved">
    <vt:filetime>2020-08-15T00:00:00Z</vt:filetime>
  </property>
</Properties>
</file>