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AF" w:rsidRDefault="007327AF" w:rsidP="007327AF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  <w:r>
        <w:rPr>
          <w:rFonts w:ascii="Calibri" w:hAnsi="Calibri"/>
          <w:b/>
          <w:szCs w:val="24"/>
          <w:lang w:val="bg-BG"/>
        </w:rPr>
        <w:t>ПЪЛНОМОЩНО</w:t>
      </w:r>
    </w:p>
    <w:p w:rsidR="007327AF" w:rsidRDefault="007327AF" w:rsidP="007327AF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Долуподписаният/ата, </w:t>
      </w:r>
      <w:r>
        <w:rPr>
          <w:rFonts w:ascii="Calibri" w:hAnsi="Calibri" w:cs="Arial"/>
          <w:bCs/>
          <w:szCs w:val="24"/>
          <w:lang w:val="bg-BG"/>
        </w:rPr>
        <w:t>________________________________</w:t>
      </w:r>
      <w:r>
        <w:rPr>
          <w:rFonts w:ascii="Calibri" w:hAnsi="Calibri" w:cs="Arial"/>
          <w:szCs w:val="24"/>
          <w:lang w:val="bg-BG"/>
        </w:rPr>
        <w:t xml:space="preserve">, </w:t>
      </w:r>
      <w:r>
        <w:rPr>
          <w:rFonts w:ascii="Calibri" w:hAnsi="Calibri" w:cs="Arial"/>
          <w:bCs/>
          <w:szCs w:val="24"/>
          <w:lang w:val="bg-BG"/>
        </w:rPr>
        <w:t>ЕГН _____________,</w:t>
      </w:r>
      <w:r>
        <w:rPr>
          <w:rFonts w:ascii="Calibri" w:hAnsi="Calibri" w:cs="Arial"/>
          <w:szCs w:val="24"/>
          <w:lang w:val="bg-BG"/>
        </w:rPr>
        <w:t xml:space="preserve"> с лична </w:t>
      </w:r>
      <w:r>
        <w:rPr>
          <w:rFonts w:ascii="Calibri" w:hAnsi="Calibri"/>
          <w:szCs w:val="24"/>
          <w:lang w:val="bg-BG"/>
        </w:rPr>
        <w:t>карта</w:t>
      </w:r>
      <w:r>
        <w:rPr>
          <w:rFonts w:ascii="Calibri" w:hAnsi="Calibri" w:cs="Arial"/>
          <w:szCs w:val="24"/>
          <w:lang w:val="bg-BG"/>
        </w:rPr>
        <w:t xml:space="preserve"> №____________, издадена на ________ година от МВР-_________, в качеството си на </w:t>
      </w:r>
      <w:r>
        <w:rPr>
          <w:rFonts w:ascii="Calibri" w:hAnsi="Calibri" w:cs="Arial"/>
          <w:b/>
          <w:szCs w:val="24"/>
          <w:lang w:val="bg-BG"/>
        </w:rPr>
        <w:t>______________________</w:t>
      </w:r>
      <w:r>
        <w:rPr>
          <w:rFonts w:ascii="Calibri" w:hAnsi="Calibri" w:cs="Arial"/>
          <w:szCs w:val="24"/>
          <w:lang w:val="bg-BG"/>
        </w:rPr>
        <w:t xml:space="preserve"> на </w:t>
      </w:r>
      <w:r>
        <w:rPr>
          <w:rFonts w:ascii="Calibri" w:hAnsi="Calibri" w:cs="Arial"/>
          <w:b/>
          <w:szCs w:val="24"/>
          <w:lang w:val="bg-BG"/>
        </w:rPr>
        <w:t>„________________” ________,</w:t>
      </w:r>
      <w:r>
        <w:rPr>
          <w:rFonts w:ascii="Calibri" w:hAnsi="Calibri" w:cs="Arial"/>
          <w:szCs w:val="24"/>
          <w:lang w:val="bg-BG"/>
        </w:rPr>
        <w:t xml:space="preserve"> със седалище и адрес на управление ________________________, вписано в Търговския регистър към Агенцията по вписванията, с ЕИК _______________,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highlight w:val="yellow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в качеството си на </w:t>
      </w:r>
      <w:r>
        <w:rPr>
          <w:rFonts w:ascii="Calibri" w:hAnsi="Calibri" w:cs="Arial"/>
          <w:b/>
          <w:szCs w:val="24"/>
          <w:lang w:val="bg-BG"/>
        </w:rPr>
        <w:t>акционер</w:t>
      </w:r>
      <w:r>
        <w:rPr>
          <w:rFonts w:ascii="Calibri" w:hAnsi="Calibri" w:cs="Arial"/>
          <w:szCs w:val="24"/>
          <w:lang w:val="bg-BG"/>
        </w:rPr>
        <w:t xml:space="preserve">, притежаващ ___________ броя акции от капитала на </w:t>
      </w:r>
      <w:r>
        <w:rPr>
          <w:rFonts w:ascii="Calibri" w:hAnsi="Calibri"/>
          <w:b/>
          <w:szCs w:val="24"/>
          <w:lang w:val="bg-BG"/>
        </w:rPr>
        <w:t>„АКТИВ ПРОПЪРТИС” АДСИЦ</w:t>
      </w:r>
      <w:r>
        <w:rPr>
          <w:rFonts w:ascii="Calibri" w:hAnsi="Calibri" w:cs="Arial"/>
          <w:szCs w:val="24"/>
          <w:lang w:val="bg-BG"/>
        </w:rPr>
        <w:t>,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bCs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на основание чл. 226 от Търговския закон във връзка с чл. 116 от ЗППЦК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УПЪЛНОМОЩАВАМ</w:t>
      </w:r>
      <w:r>
        <w:rPr>
          <w:rFonts w:ascii="Calibri" w:hAnsi="Calibri" w:cs="Arial"/>
          <w:szCs w:val="24"/>
          <w:lang w:val="bg-BG"/>
        </w:rPr>
        <w:t>:</w:t>
      </w:r>
    </w:p>
    <w:p w:rsidR="007327AF" w:rsidRDefault="007327AF" w:rsidP="007327AF">
      <w:pPr>
        <w:spacing w:before="120" w:after="120" w:line="280" w:lineRule="exact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Cs/>
          <w:szCs w:val="24"/>
          <w:lang w:val="bg-BG"/>
        </w:rPr>
        <w:t>________________________________</w:t>
      </w:r>
      <w:r>
        <w:rPr>
          <w:rFonts w:ascii="Calibri" w:hAnsi="Calibri" w:cs="Arial"/>
          <w:szCs w:val="24"/>
          <w:lang w:val="bg-BG"/>
        </w:rPr>
        <w:t xml:space="preserve">, </w:t>
      </w:r>
      <w:r>
        <w:rPr>
          <w:rFonts w:ascii="Calibri" w:hAnsi="Calibri" w:cs="Arial"/>
          <w:bCs/>
          <w:szCs w:val="24"/>
          <w:lang w:val="bg-BG"/>
        </w:rPr>
        <w:t>ЕГН _____________,</w:t>
      </w:r>
      <w:r>
        <w:rPr>
          <w:rFonts w:ascii="Calibri" w:hAnsi="Calibri" w:cs="Arial"/>
          <w:szCs w:val="24"/>
          <w:lang w:val="bg-BG"/>
        </w:rPr>
        <w:t xml:space="preserve"> с лична карта №____________, издадена на ________ година от МВР-_________, с постоянен адрес _________________________________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със следните права</w:t>
      </w:r>
      <w:r>
        <w:rPr>
          <w:rFonts w:ascii="Calibri" w:hAnsi="Calibri" w:cs="Arial"/>
          <w:szCs w:val="24"/>
          <w:lang w:val="bg-BG"/>
        </w:rPr>
        <w:t>: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1. Да представлява мен/дружеството на Редовното годишно общо събрание на акционерите на „АКТИВ ПРОПЪРТИС” АДСИЦ, което ще се проведе на 12.06.2019 г. от 11:00 часа, в град Пловдив, ул. „Нестор Абаджиев” № 37, ет. 2, а при липса на кворум на основание чл. 115, ал. 12 ЗППЦК събранието ще се проведе на 26</w:t>
      </w:r>
      <w:r>
        <w:rPr>
          <w:rFonts w:ascii="Calibri" w:hAnsi="Calibri"/>
          <w:szCs w:val="24"/>
          <w:lang w:val="bg-BG"/>
        </w:rPr>
        <w:t xml:space="preserve">.06.2019 </w:t>
      </w:r>
      <w:r>
        <w:rPr>
          <w:rFonts w:ascii="Calibri" w:hAnsi="Calibri" w:cs="Arial"/>
          <w:szCs w:val="24"/>
          <w:lang w:val="bg-BG"/>
        </w:rPr>
        <w:t>г. в същия час и на същото място, независимо от представения на него капитал.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2. Да гласува с всички притежавани от мен / дружеството акции по въпросите от дневния ред на събранието съгласно указания по-долу начин, а именно: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szCs w:val="24"/>
          <w:lang w:val="bg-BG"/>
        </w:rPr>
        <w:t>„</w:t>
      </w:r>
      <w:r>
        <w:rPr>
          <w:rFonts w:ascii="Calibri" w:eastAsia="Calibri" w:hAnsi="Calibri" w:cs="Arial"/>
          <w:b/>
          <w:szCs w:val="24"/>
          <w:lang w:val="bg-BG"/>
        </w:rPr>
        <w:t>Точка първа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годишните индивидуален и консолидиран доклади на Съвета на директорите за дейността на Дружеството през 2018 г.;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годишните индивидуален и консолидиран доклади на Съвета на директорите за дейността на Дружеството през 2018 г.;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hAnsi="Calibri"/>
          <w:b/>
          <w:szCs w:val="24"/>
          <w:lang w:val="bg-BG"/>
        </w:rPr>
        <w:t>Точка втора</w:t>
      </w:r>
      <w:r>
        <w:rPr>
          <w:rFonts w:ascii="Calibri" w:hAnsi="Calibri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докладите на избрания регистриран одитор за извършената проверка на годишните индивидуален и консолидиран финансови отчети на Дружеството за 2018 г.;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lastRenderedPageBreak/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докладите на избрания регистриран одитор за извършената проверка на годишните индивидуален и консолидиран финансови отчети на Дружеството за 2018 г.;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трета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одитираните годишни индивидуален и консолидиран финансови отчети на Дружеството за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одитираните годишни индивидуален и консолидиран финансови отчети на Дружеството за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четвърта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решение във връзка с отчетената загуба на Дружеството към 31.12.2018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 xml:space="preserve">: Общото събрание на акционерите приема решение отчетената загуба на Дружеството към 31.12.2018 г., в размер на </w:t>
      </w:r>
      <w:r>
        <w:rPr>
          <w:rFonts w:ascii="Calibri" w:hAnsi="Calibri"/>
          <w:szCs w:val="24"/>
        </w:rPr>
        <w:t xml:space="preserve">694 381,85 </w:t>
      </w:r>
      <w:proofErr w:type="spellStart"/>
      <w:r>
        <w:rPr>
          <w:rFonts w:ascii="Calibri" w:hAnsi="Calibri"/>
          <w:szCs w:val="24"/>
        </w:rPr>
        <w:t>лв</w:t>
      </w:r>
      <w:proofErr w:type="spellEnd"/>
      <w:r>
        <w:rPr>
          <w:rFonts w:ascii="Calibri" w:hAnsi="Calibri"/>
          <w:szCs w:val="24"/>
        </w:rPr>
        <w:t>. (</w:t>
      </w:r>
      <w:proofErr w:type="spellStart"/>
      <w:proofErr w:type="gramStart"/>
      <w:r>
        <w:rPr>
          <w:rFonts w:ascii="Calibri" w:hAnsi="Calibri"/>
          <w:szCs w:val="24"/>
        </w:rPr>
        <w:t>шестотин</w:t>
      </w:r>
      <w:proofErr w:type="spellEnd"/>
      <w:proofErr w:type="gram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деветдесет</w:t>
      </w:r>
      <w:proofErr w:type="spellEnd"/>
      <w:r>
        <w:rPr>
          <w:rFonts w:ascii="Calibri" w:hAnsi="Calibri"/>
          <w:szCs w:val="24"/>
        </w:rPr>
        <w:t xml:space="preserve"> и </w:t>
      </w:r>
      <w:proofErr w:type="spellStart"/>
      <w:r>
        <w:rPr>
          <w:rFonts w:ascii="Calibri" w:hAnsi="Calibri"/>
          <w:szCs w:val="24"/>
        </w:rPr>
        <w:t>четири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хиляди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триста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осемдесет</w:t>
      </w:r>
      <w:proofErr w:type="spellEnd"/>
      <w:r>
        <w:rPr>
          <w:rFonts w:ascii="Calibri" w:hAnsi="Calibri"/>
          <w:szCs w:val="24"/>
        </w:rPr>
        <w:t xml:space="preserve"> и </w:t>
      </w:r>
      <w:proofErr w:type="spellStart"/>
      <w:r>
        <w:rPr>
          <w:rFonts w:ascii="Calibri" w:hAnsi="Calibri"/>
          <w:szCs w:val="24"/>
        </w:rPr>
        <w:t>един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лева</w:t>
      </w:r>
      <w:proofErr w:type="spellEnd"/>
      <w:r>
        <w:rPr>
          <w:rFonts w:ascii="Calibri" w:hAnsi="Calibri"/>
          <w:szCs w:val="24"/>
        </w:rPr>
        <w:t xml:space="preserve"> и </w:t>
      </w:r>
      <w:proofErr w:type="spellStart"/>
      <w:r>
        <w:rPr>
          <w:rFonts w:ascii="Calibri" w:hAnsi="Calibri"/>
          <w:szCs w:val="24"/>
        </w:rPr>
        <w:t>осемдесет</w:t>
      </w:r>
      <w:proofErr w:type="spellEnd"/>
      <w:r>
        <w:rPr>
          <w:rFonts w:ascii="Calibri" w:hAnsi="Calibri"/>
          <w:szCs w:val="24"/>
        </w:rPr>
        <w:t xml:space="preserve"> и </w:t>
      </w:r>
      <w:proofErr w:type="spellStart"/>
      <w:r>
        <w:rPr>
          <w:rFonts w:ascii="Calibri" w:hAnsi="Calibri"/>
          <w:szCs w:val="24"/>
        </w:rPr>
        <w:t>пет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стотинки</w:t>
      </w:r>
      <w:proofErr w:type="spellEnd"/>
      <w:r>
        <w:rPr>
          <w:rFonts w:ascii="Calibri" w:hAnsi="Calibri"/>
          <w:szCs w:val="24"/>
        </w:rPr>
        <w:t>)</w:t>
      </w:r>
      <w:r>
        <w:rPr>
          <w:rFonts w:ascii="Calibri" w:eastAsia="Calibri" w:hAnsi="Calibri"/>
          <w:szCs w:val="24"/>
          <w:lang w:val="bg-BG"/>
        </w:rPr>
        <w:t xml:space="preserve"> да остане като непокрита;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b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пета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 (по чл. 12, ал. 1 от Наредба № 48 от 20.03.2013 г. за изискванията към възнагражденията) за начина, по който „Актив Пропъртис“ АДСИЦ прилага Политиката за възнагражденията.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доклада (по чл. 12, ал. 1 от Наредба № 48 от 20.03.2013 г. за изискванията към възнагражденията) за начина, по който по който „Актив Пропъртис“ АДСИЦ е прилагало Политиката през 2018 г.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шеста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 за дейността на одитния комитет през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доклада за дейността на одитния комитет на Дружеството през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b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седма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отчета за дейността на Директора за връзки с инвеститорите през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приема отчета за дейността на Директора за връзки с инвеститорите на Дружеството през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осма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Освобождаване от отговорност на членовете на Съвета на директорите за дейността им през 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lastRenderedPageBreak/>
        <w:t>Проект за решение</w:t>
      </w:r>
      <w:r>
        <w:rPr>
          <w:rFonts w:ascii="Calibri" w:eastAsia="Calibri" w:hAnsi="Calibri"/>
          <w:szCs w:val="24"/>
          <w:lang w:val="bg-BG"/>
        </w:rPr>
        <w:t>: Общото събрание на акционерите освобождава от отговорност членовете на Съвета на директорите на Дружеството Стоян Стефанов Лилов, Димитър Георгиев Русев и Дилян Пейчев Панев за дейността им през периода от 01.01.2018 г. до 31.12.2018 г.;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девета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решение за избор на регистриран одитор на Дружеството за 2019 г.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/>
          <w:szCs w:val="24"/>
          <w:lang w:val="bg-BG"/>
        </w:rPr>
        <w:t>: За проверка и заверка на годишните индивидуален и консолидиран финансови отчети за 2019 г. Общото събрание на акционерите избира регистрирания одитор, препоръчан от Одитния комитет, съгласно съдържащото се в материалите по дневния ред предложение;</w:t>
      </w: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десета</w:t>
      </w:r>
      <w:r>
        <w:rPr>
          <w:rFonts w:ascii="Calibri" w:eastAsia="Calibri" w:hAnsi="Calibri" w:cs="Arial"/>
          <w:szCs w:val="24"/>
          <w:lang w:val="bg-BG"/>
        </w:rPr>
        <w:t>:</w:t>
      </w:r>
      <w:r>
        <w:rPr>
          <w:rFonts w:ascii="Calibri" w:eastAsia="Calibri" w:hAnsi="Calibri" w:cs="Arial"/>
          <w:b/>
          <w:szCs w:val="24"/>
          <w:lang w:val="bg-BG"/>
        </w:rPr>
        <w:t xml:space="preserve"> </w:t>
      </w:r>
      <w:r>
        <w:rPr>
          <w:rFonts w:ascii="Calibri" w:eastAsia="Calibri" w:hAnsi="Calibri" w:cs="Arial"/>
          <w:szCs w:val="24"/>
          <w:lang w:val="bg-BG"/>
        </w:rPr>
        <w:t>Разни.“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Волеизявлението на упълномощителя за начина на гласуване на пълномощника се прави чрез отбелязване (подчертаване или ограждане) на възможностите за гласуване по всяко от предлаганите решения по въпросите от дневния ред. 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В случаите на непосочване на начина на гласуване за предлаганите решения по въпросите от дневния ред, пълномощникът има право на преценка дали да гласува и по какъв начин.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Упълномощаването обхваща и гласуването по въпроси, които са включени в дневния ред при условията на чл. 231, ал. 1 ТЗ и не са съобщени или обявени съобразно чл. 223 и чл. 223а ТЗ. По тези въпроси пълномощникът има право по своя преценка да реши дали да гласува и по какъв начин.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Съгласно чл. 116, ал. 4 ЗППЦК преупълномощаването с изброените по-горе права е нищожно.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Дата:_______ г.</w:t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  <w:t>Упълномощител: _______________</w:t>
      </w: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7327AF" w:rsidRDefault="007327AF" w:rsidP="007327AF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гр. _________</w:t>
      </w:r>
    </w:p>
    <w:p w:rsidR="00973034" w:rsidRPr="007327AF" w:rsidRDefault="00973034" w:rsidP="007327AF"/>
    <w:sectPr w:rsidR="00973034" w:rsidRPr="007327AF" w:rsidSect="0097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7327AF"/>
    <w:rsid w:val="007327AF"/>
    <w:rsid w:val="009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A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Application>Microsoft Office Word</Application>
  <DocSecurity>0</DocSecurity>
  <Lines>39</Lines>
  <Paragraphs>11</Paragraphs>
  <ScaleCrop>false</ScaleCrop>
  <Company>Microsoft Corporation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2019-05-02T06:27:00Z</dcterms:created>
  <dcterms:modified xsi:type="dcterms:W3CDTF">2019-05-02T06:28:00Z</dcterms:modified>
</cp:coreProperties>
</file>