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2B705E" w:rsidRPr="002B705E" w:rsidRDefault="002B705E" w:rsidP="002B705E">
      <w:pPr>
        <w:pStyle w:val="Default"/>
        <w:jc w:val="center"/>
        <w:rPr>
          <w:rFonts w:asciiTheme="minorHAnsi" w:hAnsiTheme="minorHAnsi" w:cstheme="minorHAnsi"/>
        </w:rPr>
      </w:pPr>
      <w:r w:rsidRPr="002B705E">
        <w:rPr>
          <w:rFonts w:asciiTheme="minorHAnsi" w:hAnsiTheme="minorHAnsi" w:cstheme="minorHAnsi"/>
          <w:b/>
          <w:bCs/>
        </w:rPr>
        <w:t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 2003/125/ЕО и 2004/72/ЕО на Комисията (ОВ L 173/1 от 12.06.2014 г.) (Регламент № 596/2014) относно обстоятелствата, настъпили през изтеклото тримесечие</w:t>
      </w:r>
    </w:p>
    <w:p w:rsidR="00EB7FCE" w:rsidRPr="00E267F6" w:rsidRDefault="00EB7FCE" w:rsidP="00CB6221">
      <w:pPr>
        <w:pStyle w:val="BodyText"/>
        <w:spacing w:before="90"/>
        <w:ind w:right="93"/>
        <w:rPr>
          <w:rFonts w:asciiTheme="minorHAnsi" w:hAnsiTheme="minorHAnsi" w:cstheme="minorHAnsi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</w:rPr>
      </w:pPr>
    </w:p>
    <w:p w:rsidR="00EB7FCE" w:rsidRPr="002B705E" w:rsidRDefault="002B705E" w:rsidP="002B705E">
      <w:pPr>
        <w:ind w:right="93"/>
        <w:jc w:val="both"/>
        <w:rPr>
          <w:rFonts w:asciiTheme="minorHAnsi" w:hAnsiTheme="minorHAnsi" w:cstheme="minorHAnsi"/>
          <w:sz w:val="24"/>
          <w:szCs w:val="24"/>
        </w:rPr>
      </w:pPr>
      <w:r w:rsidRPr="002B705E">
        <w:rPr>
          <w:rFonts w:asciiTheme="minorHAnsi" w:hAnsiTheme="minorHAnsi" w:cstheme="minorHAnsi"/>
          <w:sz w:val="24"/>
          <w:szCs w:val="24"/>
        </w:rPr>
        <w:t xml:space="preserve">През </w:t>
      </w:r>
      <w:r w:rsidR="00554E06">
        <w:rPr>
          <w:rFonts w:asciiTheme="minorHAnsi" w:hAnsiTheme="minorHAnsi" w:cstheme="minorHAnsi"/>
          <w:sz w:val="24"/>
          <w:szCs w:val="24"/>
        </w:rPr>
        <w:t>първо</w:t>
      </w:r>
      <w:r w:rsidRPr="002B705E">
        <w:rPr>
          <w:rFonts w:asciiTheme="minorHAnsi" w:hAnsiTheme="minorHAnsi" w:cstheme="minorHAnsi"/>
          <w:sz w:val="24"/>
          <w:szCs w:val="24"/>
        </w:rPr>
        <w:t xml:space="preserve"> тримесечие на 202</w:t>
      </w:r>
      <w:r w:rsidR="00554E06">
        <w:rPr>
          <w:rFonts w:asciiTheme="minorHAnsi" w:hAnsiTheme="minorHAnsi" w:cstheme="minorHAnsi"/>
          <w:sz w:val="24"/>
          <w:szCs w:val="24"/>
        </w:rPr>
        <w:t>1</w:t>
      </w:r>
      <w:r w:rsidRPr="002B705E">
        <w:rPr>
          <w:rFonts w:asciiTheme="minorHAnsi" w:hAnsiTheme="minorHAnsi" w:cstheme="minorHAnsi"/>
          <w:sz w:val="24"/>
          <w:szCs w:val="24"/>
        </w:rPr>
        <w:t xml:space="preserve"> г. не са настъпили обстоятелства, които не са публично оповестени от Дружеството и могат да се считат за вътрешна информация. Всички значими събития, които могат да бъдат от значение за инвеститорите, настъпили през </w:t>
      </w:r>
      <w:r w:rsidR="00554E06">
        <w:rPr>
          <w:rFonts w:asciiTheme="minorHAnsi" w:hAnsiTheme="minorHAnsi" w:cstheme="minorHAnsi"/>
          <w:sz w:val="24"/>
          <w:szCs w:val="24"/>
        </w:rPr>
        <w:t>първото</w:t>
      </w:r>
      <w:r w:rsidRPr="002B705E">
        <w:rPr>
          <w:rFonts w:asciiTheme="minorHAnsi" w:hAnsiTheme="minorHAnsi" w:cstheme="minorHAnsi"/>
          <w:sz w:val="24"/>
          <w:szCs w:val="24"/>
        </w:rPr>
        <w:t xml:space="preserve"> тримесечие на 202</w:t>
      </w:r>
      <w:r w:rsidR="00554E06">
        <w:rPr>
          <w:rFonts w:asciiTheme="minorHAnsi" w:hAnsiTheme="minorHAnsi" w:cstheme="minorHAnsi"/>
          <w:sz w:val="24"/>
          <w:szCs w:val="24"/>
        </w:rPr>
        <w:t>1</w:t>
      </w:r>
      <w:r w:rsidRPr="002B705E">
        <w:rPr>
          <w:rFonts w:asciiTheme="minorHAnsi" w:hAnsiTheme="minorHAnsi" w:cstheme="minorHAnsi"/>
          <w:sz w:val="24"/>
          <w:szCs w:val="24"/>
        </w:rPr>
        <w:t xml:space="preserve"> г. са описани в документите съставляващи финансовия отчет на Дружеството за </w:t>
      </w:r>
      <w:r w:rsidR="00554E06">
        <w:rPr>
          <w:rFonts w:asciiTheme="minorHAnsi" w:hAnsiTheme="minorHAnsi" w:cstheme="minorHAnsi"/>
          <w:sz w:val="24"/>
          <w:szCs w:val="24"/>
        </w:rPr>
        <w:t>първото</w:t>
      </w:r>
      <w:bookmarkStart w:id="0" w:name="_GoBack"/>
      <w:bookmarkEnd w:id="0"/>
      <w:r w:rsidRPr="002B705E">
        <w:rPr>
          <w:rFonts w:asciiTheme="minorHAnsi" w:hAnsiTheme="minorHAnsi" w:cstheme="minorHAnsi"/>
          <w:sz w:val="24"/>
          <w:szCs w:val="24"/>
        </w:rPr>
        <w:t xml:space="preserve"> тримесечие на 202</w:t>
      </w:r>
      <w:r w:rsidR="00554E06">
        <w:rPr>
          <w:rFonts w:asciiTheme="minorHAnsi" w:hAnsiTheme="minorHAnsi" w:cstheme="minorHAnsi"/>
          <w:sz w:val="24"/>
          <w:szCs w:val="24"/>
        </w:rPr>
        <w:t>1</w:t>
      </w:r>
      <w:r w:rsidRPr="002B705E">
        <w:rPr>
          <w:rFonts w:asciiTheme="minorHAnsi" w:hAnsiTheme="minorHAnsi" w:cstheme="minorHAnsi"/>
          <w:sz w:val="24"/>
          <w:szCs w:val="24"/>
        </w:rPr>
        <w:t xml:space="preserve"> г.</w:t>
      </w:r>
    </w:p>
    <w:p w:rsid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</w:p>
    <w:p w:rsidR="00E267F6" w:rsidRDefault="00D167E2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E267F6" w:rsidRPr="00E267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7FCE" w:rsidRPr="00E267F6" w:rsidRDefault="00E267F6" w:rsidP="00CB6221">
      <w:pPr>
        <w:pStyle w:val="Title"/>
        <w:ind w:left="0" w:right="5511"/>
        <w:rPr>
          <w:rFonts w:asciiTheme="minorHAnsi" w:hAnsiTheme="minorHAnsi" w:cstheme="minorHAnsi"/>
          <w:sz w:val="24"/>
          <w:szCs w:val="24"/>
        </w:rPr>
      </w:pPr>
      <w:r w:rsidRPr="00E267F6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p w:rsidR="00EB7FCE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AA1055" w:rsidRPr="002B705E" w:rsidRDefault="00AA1055" w:rsidP="00CB6221">
      <w:pPr>
        <w:pStyle w:val="BodyText"/>
        <w:rPr>
          <w:rFonts w:asciiTheme="minorHAnsi" w:hAnsiTheme="minorHAnsi" w:cstheme="minorHAnsi"/>
          <w:b w:val="0"/>
        </w:rPr>
      </w:pPr>
    </w:p>
    <w:p w:rsidR="002B705E" w:rsidRPr="002B705E" w:rsidRDefault="002B705E" w:rsidP="00AA1055">
      <w:pPr>
        <w:pStyle w:val="BodyText"/>
        <w:rPr>
          <w:rFonts w:asciiTheme="minorHAnsi" w:hAnsiTheme="minorHAnsi" w:cstheme="minorHAnsi"/>
        </w:rPr>
      </w:pPr>
    </w:p>
    <w:p w:rsidR="00EB7FCE" w:rsidRPr="002B705E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 w:rsidP="00CB6221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Pr="00E267F6" w:rsidRDefault="00EB7FCE">
      <w:pPr>
        <w:pStyle w:val="BodyText"/>
        <w:rPr>
          <w:rFonts w:asciiTheme="minorHAnsi" w:hAnsiTheme="minorHAnsi" w:cstheme="minorHAnsi"/>
          <w:b w:val="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rPr>
          <w:b w:val="0"/>
          <w:sz w:val="20"/>
        </w:rPr>
      </w:pPr>
    </w:p>
    <w:p w:rsidR="00EB7FCE" w:rsidRDefault="00EB7FCE">
      <w:pPr>
        <w:pStyle w:val="BodyText"/>
        <w:spacing w:before="8"/>
        <w:rPr>
          <w:b w:val="0"/>
          <w:sz w:val="23"/>
        </w:rPr>
      </w:pPr>
    </w:p>
    <w:sectPr w:rsidR="00EB7FCE" w:rsidSect="009E176E">
      <w:headerReference w:type="default" r:id="rId6"/>
      <w:footerReference w:type="default" r:id="rId7"/>
      <w:type w:val="continuous"/>
      <w:pgSz w:w="11910" w:h="16840"/>
      <w:pgMar w:top="720" w:right="740" w:bottom="280" w:left="11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91" w:rsidRDefault="00087091" w:rsidP="009E176E">
      <w:r>
        <w:separator/>
      </w:r>
    </w:p>
  </w:endnote>
  <w:endnote w:type="continuationSeparator" w:id="0">
    <w:p w:rsidR="00087091" w:rsidRDefault="00087091" w:rsidP="009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366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76E" w:rsidRDefault="009E176E" w:rsidP="0043469C">
        <w:pPr>
          <w:pStyle w:val="Footer"/>
          <w:pBdr>
            <w:top w:val="single" w:sz="4" w:space="1" w:color="auto"/>
          </w:pBdr>
          <w:jc w:val="right"/>
        </w:pP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441C7A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554E06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441C7A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9E176E" w:rsidRDefault="009E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91" w:rsidRDefault="00087091" w:rsidP="009E176E">
      <w:r>
        <w:separator/>
      </w:r>
    </w:p>
  </w:footnote>
  <w:footnote w:type="continuationSeparator" w:id="0">
    <w:p w:rsidR="00087091" w:rsidRDefault="00087091" w:rsidP="009E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9E176E" w:rsidRPr="009E176E" w:rsidRDefault="009E176E" w:rsidP="009E176E">
    <w:pPr>
      <w:pStyle w:val="Header"/>
      <w:rPr>
        <w:rFonts w:asciiTheme="minorHAnsi" w:hAnsiTheme="minorHAnsi" w:cstheme="minorHAnsi"/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Вътрешна информация към 3</w:t>
    </w:r>
    <w:r w:rsidR="008A0420">
      <w:rPr>
        <w:rFonts w:asciiTheme="minorHAnsi" w:hAnsiTheme="minorHAnsi" w:cstheme="minorHAnsi"/>
        <w:sz w:val="18"/>
        <w:szCs w:val="18"/>
      </w:rPr>
      <w:t>1</w:t>
    </w:r>
    <w:r w:rsidRPr="009E176E">
      <w:rPr>
        <w:rFonts w:asciiTheme="minorHAnsi" w:hAnsiTheme="minorHAnsi" w:cstheme="minorHAnsi"/>
        <w:sz w:val="18"/>
        <w:szCs w:val="18"/>
      </w:rPr>
      <w:t>.</w:t>
    </w:r>
    <w:r w:rsidR="00554E06">
      <w:rPr>
        <w:rFonts w:asciiTheme="minorHAnsi" w:hAnsiTheme="minorHAnsi" w:cstheme="minorHAnsi"/>
        <w:sz w:val="18"/>
        <w:szCs w:val="18"/>
      </w:rPr>
      <w:t>03</w:t>
    </w:r>
    <w:r w:rsidRPr="009E176E">
      <w:rPr>
        <w:rFonts w:asciiTheme="minorHAnsi" w:hAnsiTheme="minorHAnsi" w:cstheme="minorHAnsi"/>
        <w:sz w:val="18"/>
        <w:szCs w:val="18"/>
      </w:rPr>
      <w:t>.202</w:t>
    </w:r>
    <w:r w:rsidR="00554E06">
      <w:rPr>
        <w:rFonts w:asciiTheme="minorHAnsi" w:hAnsiTheme="minorHAnsi" w:cstheme="minorHAnsi"/>
        <w:sz w:val="18"/>
        <w:szCs w:val="18"/>
      </w:rPr>
      <w:t>1</w:t>
    </w:r>
    <w:r w:rsidRPr="009E176E">
      <w:rPr>
        <w:rFonts w:asciiTheme="minorHAnsi" w:hAnsiTheme="minorHAnsi" w:cstheme="minorHAnsi"/>
        <w:sz w:val="18"/>
        <w:szCs w:val="18"/>
      </w:rPr>
      <w:t xml:space="preserve"> г. </w:t>
    </w:r>
  </w:p>
  <w:p w:rsidR="009E176E" w:rsidRPr="009E176E" w:rsidRDefault="009E176E" w:rsidP="0043469C">
    <w:pPr>
      <w:pStyle w:val="Header"/>
      <w:pBdr>
        <w:bottom w:val="single" w:sz="4" w:space="1" w:color="auto"/>
      </w:pBdr>
      <w:rPr>
        <w:sz w:val="18"/>
        <w:szCs w:val="18"/>
      </w:rPr>
    </w:pPr>
    <w:r w:rsidRPr="009E176E">
      <w:rPr>
        <w:rFonts w:asciiTheme="minorHAnsi" w:hAnsiTheme="minorHAnsi" w:cstheme="minorHAnsi"/>
        <w:sz w:val="18"/>
        <w:szCs w:val="18"/>
      </w:rPr>
      <w:t>по чл.7 от Регламент (ЕС) № 596/2014)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7FCE"/>
    <w:rsid w:val="00056A73"/>
    <w:rsid w:val="00087091"/>
    <w:rsid w:val="0020249A"/>
    <w:rsid w:val="002B705E"/>
    <w:rsid w:val="00344477"/>
    <w:rsid w:val="0043469C"/>
    <w:rsid w:val="00441C7A"/>
    <w:rsid w:val="00554E06"/>
    <w:rsid w:val="005572C6"/>
    <w:rsid w:val="005F0787"/>
    <w:rsid w:val="007F0D67"/>
    <w:rsid w:val="00820FA1"/>
    <w:rsid w:val="008A0420"/>
    <w:rsid w:val="009E176E"/>
    <w:rsid w:val="00AA1055"/>
    <w:rsid w:val="00C20B1A"/>
    <w:rsid w:val="00C75E39"/>
    <w:rsid w:val="00CB6221"/>
    <w:rsid w:val="00D167E2"/>
    <w:rsid w:val="00D754F4"/>
    <w:rsid w:val="00E267F6"/>
    <w:rsid w:val="00E9332F"/>
    <w:rsid w:val="00EB7FCE"/>
    <w:rsid w:val="00F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2C1B"/>
  <w15:docId w15:val="{46B5984A-BFAB-4DFC-8652-381B059F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40" w:right="696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6E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E1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6E"/>
    <w:rPr>
      <w:rFonts w:ascii="Times New Roman" w:eastAsia="Times New Roman" w:hAnsi="Times New Roman" w:cs="Times New Roman"/>
      <w:lang w:val="bg-BG"/>
    </w:rPr>
  </w:style>
  <w:style w:type="paragraph" w:customStyle="1" w:styleId="Default">
    <w:name w:val="Default"/>
    <w:rsid w:val="00AA1055"/>
    <w:pPr>
      <w:widowControl/>
      <w:adjustRightInd w:val="0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Svetoslav Markov</dc:creator>
  <cp:lastModifiedBy>Predator</cp:lastModifiedBy>
  <cp:revision>15</cp:revision>
  <dcterms:created xsi:type="dcterms:W3CDTF">2020-08-15T14:59:00Z</dcterms:created>
  <dcterms:modified xsi:type="dcterms:W3CDTF">2021-04-26T10:58:00Z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