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220328">
              <w:rPr>
                <w:b/>
                <w:sz w:val="22"/>
                <w:lang w:val="ru-RU"/>
              </w:rPr>
              <w:t>05.10.2023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220328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71.8261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220328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71.8261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220328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71.8261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220328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521 673.50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220328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220328">
              <w:rPr>
                <w:b/>
                <w:sz w:val="22"/>
                <w:lang w:val="en-US"/>
              </w:rPr>
              <w:t>05.10.2023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bookmarkStart w:id="7" w:name="_GoBack"/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220328" w:rsidP="00403058">
            <w:pPr>
              <w:jc w:val="center"/>
              <w:rPr>
                <w:b/>
                <w:sz w:val="22"/>
              </w:rPr>
            </w:pPr>
            <w:bookmarkStart w:id="8" w:name="EmissionnaStoinost_FundID_2_2"/>
            <w:bookmarkEnd w:id="8"/>
            <w:r>
              <w:rPr>
                <w:b/>
                <w:sz w:val="22"/>
              </w:rPr>
              <w:t>71.8261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220328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2_3"/>
            <w:bookmarkEnd w:id="9"/>
            <w:r>
              <w:rPr>
                <w:b/>
                <w:sz w:val="22"/>
              </w:rPr>
              <w:t>71.8261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220328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ObratnoIzkupuvane_FundID_2_1"/>
            <w:bookmarkEnd w:id="10"/>
            <w:r>
              <w:rPr>
                <w:b/>
                <w:sz w:val="22"/>
              </w:rPr>
              <w:t>71.8261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220328" w:rsidP="00403058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2_1"/>
            <w:bookmarkEnd w:id="11"/>
            <w:r>
              <w:rPr>
                <w:b/>
                <w:sz w:val="22"/>
              </w:rPr>
              <w:t>521 673.50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220328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bookmarkEnd w:id="7"/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28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0328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0B6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B76650-EB11-41F3-B7D1-069D6512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5259D-C212-4CE8-9513-F39270EB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38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2023-10-06T10:32:00Z</dcterms:created>
  <dcterms:modified xsi:type="dcterms:W3CDTF">2023-10-06T11:10:00Z</dcterms:modified>
</cp:coreProperties>
</file>