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7470A5" w:rsidRPr="0059452E">
          <w:rPr>
            <w:rStyle w:val="Hyperlink"/>
            <w:sz w:val="18"/>
            <w:szCs w:val="18"/>
            <w:lang w:val="en-US"/>
          </w:rPr>
          <w:t>asset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management</w:t>
        </w:r>
        <w:r w:rsidR="007470A5" w:rsidRPr="007470A5">
          <w:rPr>
            <w:rStyle w:val="Hyperlink"/>
            <w:sz w:val="18"/>
            <w:szCs w:val="18"/>
            <w:lang w:val="ru-RU"/>
          </w:rPr>
          <w:t>@</w:t>
        </w:r>
        <w:r w:rsidR="007470A5" w:rsidRPr="0059452E">
          <w:rPr>
            <w:rStyle w:val="Hyperlink"/>
            <w:sz w:val="18"/>
            <w:szCs w:val="18"/>
            <w:lang w:val="en-US"/>
          </w:rPr>
          <w:t>teximbank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bg</w:t>
        </w:r>
      </w:hyperlink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7B04CE">
              <w:rPr>
                <w:b/>
                <w:sz w:val="22"/>
                <w:lang w:val="ru-RU"/>
              </w:rPr>
              <w:t>12.01.2023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Емисионна стойност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7B04CE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72.1137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7B04CE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72.1137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7B04CE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72.1137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7B04CE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523 762.24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7B04CE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>Law On The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“Texim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7B04CE">
              <w:rPr>
                <w:b/>
                <w:sz w:val="22"/>
                <w:lang w:val="en-US"/>
              </w:rPr>
              <w:t>12.01.2023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r w:rsidR="00AC48C6" w:rsidRPr="00AC48C6">
              <w:rPr>
                <w:b/>
                <w:sz w:val="22"/>
                <w:lang w:val="bg-BG"/>
              </w:rPr>
              <w:t>Texim Conservative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7B04CE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72.1137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7B04CE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72.1137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7B04CE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72.1137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7B04CE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523 762.24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7B04CE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CE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04CE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F83A4A-CD9F-48F0-83D2-952F0F27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5FC27-76F8-446D-840D-22839EBF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2023-01-13T11:39:00Z</dcterms:created>
  <dcterms:modified xsi:type="dcterms:W3CDTF">2023-01-13T11:40:00Z</dcterms:modified>
</cp:coreProperties>
</file>