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05514C">
              <w:rPr>
                <w:b/>
                <w:sz w:val="22"/>
                <w:lang w:val="ru-RU"/>
              </w:rPr>
              <w:t>10.9.2024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05514C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75.0749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05514C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75.0749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05514C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75.0749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05514C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47 041 023.79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05514C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5514C">
              <w:rPr>
                <w:b/>
                <w:sz w:val="22"/>
                <w:lang w:val="en-US"/>
              </w:rPr>
              <w:t>10.9.2024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05514C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75.0749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05514C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75.0749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05514C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75.0749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05514C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End w:id="13"/>
            <w:r>
              <w:rPr>
                <w:b/>
                <w:sz w:val="22"/>
                <w:lang w:val="en-US"/>
              </w:rPr>
              <w:t>47 041 023.79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05514C" w:rsidP="00292032">
            <w:pPr>
              <w:jc w:val="center"/>
              <w:rPr>
                <w:b/>
                <w:sz w:val="22"/>
                <w:lang w:val="bg-BG"/>
              </w:rPr>
            </w:pPr>
            <w:bookmarkStart w:id="14" w:name="BrojDialove_FundID_3_1"/>
            <w:bookmarkEnd w:id="14"/>
            <w:r>
              <w:rPr>
                <w:b/>
                <w:sz w:val="22"/>
                <w:lang w:val="bg-BG"/>
              </w:rPr>
              <w:t>626 587.5924</w:t>
            </w:r>
            <w:bookmarkStart w:id="15" w:name="_GoBack"/>
            <w:bookmarkEnd w:id="15"/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4C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5514C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307D5D-86CD-4F60-B203-366A90D3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DB89-0BF4-4002-9501-267155AA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1677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2024-09-11T11:25:00Z</dcterms:created>
  <dcterms:modified xsi:type="dcterms:W3CDTF">2024-09-11T11:26:00Z</dcterms:modified>
</cp:coreProperties>
</file>