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56C90">
              <w:rPr>
                <w:b/>
                <w:sz w:val="22"/>
                <w:lang w:val="ru-RU"/>
              </w:rPr>
              <w:t>23.12.2024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ru-RU"/>
              </w:rPr>
              <w:t>72.0277лв</w:t>
            </w:r>
            <w:r w:rsidR="00403058" w:rsidRPr="00403058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:rsidR="00403058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ru-RU"/>
              </w:rPr>
              <w:t>72.0277лв</w:t>
            </w:r>
            <w:r w:rsidR="00403058" w:rsidRPr="00403058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403058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ru-RU"/>
              </w:rPr>
              <w:t>72.0277лв</w:t>
            </w:r>
            <w:r w:rsidR="00403058" w:rsidRPr="00403058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403058" w:rsidRPr="000671DD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972 813.78лв</w:t>
            </w:r>
            <w:r w:rsidR="00403058">
              <w:rPr>
                <w:b/>
                <w:sz w:val="22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03058" w:rsidRPr="001804FA" w:rsidRDefault="00756C9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en-US"/>
              </w:rPr>
              <w:t>13 506.1077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56C90">
              <w:rPr>
                <w:b/>
                <w:sz w:val="22"/>
                <w:lang w:val="en-US"/>
              </w:rPr>
              <w:t>23.12.2024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56C9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  <w:lang w:val="ru-RU"/>
              </w:rPr>
              <w:t>72.0277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  <w:lang w:val="ru-RU"/>
              </w:rPr>
              <w:t>72.0277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  <w:lang w:val="ru-RU"/>
              </w:rPr>
              <w:t>72.0277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56C9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  <w:lang w:val="ru-RU"/>
              </w:rPr>
              <w:t>972 813.78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Pr="001804FA" w:rsidRDefault="00756C90" w:rsidP="00403058">
            <w:pPr>
              <w:jc w:val="center"/>
              <w:rPr>
                <w:b/>
                <w:sz w:val="22"/>
                <w:lang w:val="ru-RU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13 506.1077</w:t>
            </w:r>
            <w:bookmarkStart w:id="12" w:name="_GoBack"/>
            <w:bookmarkEnd w:id="12"/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9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6C90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3EDB1F-F7D6-4509-8100-4921AE0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2BDB-964A-4EEB-BFA9-45401701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2024-12-27T16:06:00Z</dcterms:created>
  <dcterms:modified xsi:type="dcterms:W3CDTF">2024-12-27T16:07:00Z</dcterms:modified>
</cp:coreProperties>
</file>